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98526B">
        <w:rPr>
          <w:rFonts w:ascii="Arial" w:hAnsi="Arial" w:cs="Arial"/>
          <w:b/>
          <w:bCs/>
          <w:sz w:val="20"/>
          <w:szCs w:val="20"/>
        </w:rPr>
        <w:t>4</w:t>
      </w:r>
      <w:r w:rsidR="00417C9C">
        <w:rPr>
          <w:rFonts w:ascii="Arial" w:hAnsi="Arial" w:cs="Arial"/>
          <w:b/>
          <w:bCs/>
          <w:sz w:val="20"/>
          <w:szCs w:val="20"/>
        </w:rPr>
        <w:t>9</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371487">
        <w:rPr>
          <w:rFonts w:ascii="Arial" w:hAnsi="Arial" w:cs="Arial"/>
          <w:b/>
          <w:bCs/>
          <w:sz w:val="20"/>
          <w:szCs w:val="20"/>
        </w:rPr>
        <w:t>01</w:t>
      </w:r>
      <w:r w:rsidR="00DA4BCA" w:rsidRPr="006F2594">
        <w:rPr>
          <w:rFonts w:ascii="Arial" w:hAnsi="Arial" w:cs="Arial"/>
          <w:b/>
          <w:bCs/>
          <w:sz w:val="20"/>
          <w:szCs w:val="20"/>
        </w:rPr>
        <w:t xml:space="preserve"> «</w:t>
      </w:r>
      <w:r w:rsidR="00371487">
        <w:rPr>
          <w:rFonts w:ascii="Arial" w:hAnsi="Arial" w:cs="Arial"/>
          <w:b/>
          <w:bCs/>
          <w:sz w:val="20"/>
          <w:szCs w:val="20"/>
        </w:rPr>
        <w:t>марта</w:t>
      </w:r>
      <w:r w:rsidR="00B801EE">
        <w:rPr>
          <w:rFonts w:ascii="Arial" w:hAnsi="Arial" w:cs="Arial"/>
          <w:b/>
          <w:bCs/>
          <w:sz w:val="20"/>
          <w:szCs w:val="20"/>
        </w:rPr>
        <w:t>» 202</w:t>
      </w:r>
      <w:r w:rsidR="00E1380C">
        <w:rPr>
          <w:rFonts w:ascii="Arial" w:hAnsi="Arial" w:cs="Arial"/>
          <w:b/>
          <w:bCs/>
          <w:sz w:val="20"/>
          <w:szCs w:val="20"/>
        </w:rPr>
        <w:t>3</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 xml:space="preserve">АО «Пензенская </w:t>
      </w:r>
      <w:proofErr w:type="spellStart"/>
      <w:r w:rsidR="003E057E" w:rsidRPr="006F2594">
        <w:rPr>
          <w:rFonts w:ascii="Arial" w:hAnsi="Arial" w:cs="Arial"/>
          <w:sz w:val="20"/>
          <w:szCs w:val="20"/>
        </w:rPr>
        <w:t>горэлектросеть</w:t>
      </w:r>
      <w:proofErr w:type="spellEnd"/>
      <w:r w:rsidR="003E057E" w:rsidRPr="006F2594">
        <w:rPr>
          <w:rFonts w:ascii="Arial" w:hAnsi="Arial" w:cs="Arial"/>
          <w:sz w:val="20"/>
          <w:szCs w:val="20"/>
        </w:rPr>
        <w:t>»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xml:space="preserve">. </w:t>
      </w:r>
      <w:proofErr w:type="gramStart"/>
      <w:r w:rsidRPr="006F2594">
        <w:rPr>
          <w:rFonts w:ascii="Arial" w:hAnsi="Arial" w:cs="Arial"/>
          <w:sz w:val="20"/>
          <w:szCs w:val="20"/>
        </w:rPr>
        <w:t>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3830B5">
        <w:rPr>
          <w:rFonts w:ascii="Arial" w:hAnsi="Arial" w:cs="Arial"/>
          <w:sz w:val="20"/>
          <w:szCs w:val="20"/>
        </w:rPr>
        <w:t xml:space="preserve">м сайте </w:t>
      </w:r>
      <w:r w:rsidR="00DB2C08" w:rsidRPr="006F2594">
        <w:rPr>
          <w:rFonts w:ascii="Arial" w:hAnsi="Arial" w:cs="Arial"/>
          <w:sz w:val="20"/>
          <w:szCs w:val="20"/>
        </w:rPr>
        <w:t xml:space="preserve">АО «Пензенская </w:t>
      </w:r>
      <w:proofErr w:type="spellStart"/>
      <w:r w:rsidR="00DB2C08" w:rsidRPr="006F2594">
        <w:rPr>
          <w:rFonts w:ascii="Arial" w:hAnsi="Arial" w:cs="Arial"/>
          <w:sz w:val="20"/>
          <w:szCs w:val="20"/>
        </w:rPr>
        <w:t>горэлектросеть</w:t>
      </w:r>
      <w:proofErr w:type="spellEnd"/>
      <w:r w:rsidR="00DB2C08" w:rsidRPr="006F2594">
        <w:rPr>
          <w:rFonts w:ascii="Arial" w:hAnsi="Arial" w:cs="Arial"/>
          <w:sz w:val="20"/>
          <w:szCs w:val="20"/>
        </w:rPr>
        <w:t>»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к участию в процедуре Открытого запроса</w:t>
      </w:r>
      <w:proofErr w:type="gramEnd"/>
      <w:r w:rsidRPr="006F2594">
        <w:rPr>
          <w:rFonts w:ascii="Arial" w:hAnsi="Arial" w:cs="Arial"/>
          <w:sz w:val="20"/>
          <w:szCs w:val="20"/>
        </w:rPr>
        <w:t xml:space="preserve"> цен (далее – запрос цен) </w:t>
      </w:r>
      <w:bookmarkEnd w:id="9"/>
      <w:r w:rsidRPr="006F2594">
        <w:rPr>
          <w:rFonts w:ascii="Arial" w:hAnsi="Arial" w:cs="Arial"/>
          <w:sz w:val="20"/>
          <w:szCs w:val="20"/>
        </w:rPr>
        <w:t>на право заключения Договора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725328">
        <w:rPr>
          <w:rFonts w:ascii="Arial" w:hAnsi="Arial" w:cs="Arial"/>
          <w:b/>
          <w:sz w:val="20"/>
          <w:szCs w:val="20"/>
        </w:rPr>
        <w:t>бентонита</w:t>
      </w:r>
      <w:r w:rsidR="00E674DB">
        <w:rPr>
          <w:rFonts w:ascii="Arial" w:hAnsi="Arial" w:cs="Arial"/>
          <w:b/>
          <w:sz w:val="20"/>
          <w:szCs w:val="20"/>
        </w:rPr>
        <w:t xml:space="preserve"> (п. 1.1.3).</w:t>
      </w:r>
    </w:p>
    <w:p w:rsidR="00DE5D54" w:rsidRPr="00E674DB"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Предмет Запроса цен: </w:t>
      </w:r>
      <w:r w:rsidR="0098526B">
        <w:rPr>
          <w:rFonts w:ascii="Arial" w:hAnsi="Arial" w:cs="Arial"/>
          <w:sz w:val="20"/>
          <w:szCs w:val="20"/>
        </w:rPr>
        <w:t xml:space="preserve">Поставка </w:t>
      </w:r>
      <w:r w:rsidR="00417C9C">
        <w:rPr>
          <w:rFonts w:ascii="Arial" w:hAnsi="Arial" w:cs="Arial"/>
          <w:sz w:val="20"/>
          <w:szCs w:val="20"/>
        </w:rPr>
        <w:t>бентонита</w:t>
      </w:r>
      <w:r w:rsidR="00157190">
        <w:rPr>
          <w:rFonts w:ascii="Arial" w:hAnsi="Arial" w:cs="Arial"/>
          <w:b/>
          <w:sz w:val="20"/>
          <w:szCs w:val="20"/>
        </w:rPr>
        <w:t xml:space="preserve"> </w:t>
      </w:r>
      <w:r w:rsidR="003830B5">
        <w:rPr>
          <w:rFonts w:ascii="Arial" w:hAnsi="Arial" w:cs="Arial"/>
          <w:sz w:val="20"/>
          <w:szCs w:val="20"/>
        </w:rPr>
        <w:t xml:space="preserve">для нужд </w:t>
      </w:r>
      <w:r w:rsidR="007651A9" w:rsidRPr="006F2594">
        <w:rPr>
          <w:rFonts w:ascii="Arial" w:hAnsi="Arial" w:cs="Arial"/>
          <w:sz w:val="20"/>
          <w:szCs w:val="20"/>
        </w:rPr>
        <w:t xml:space="preserve">АО «Пензенская </w:t>
      </w:r>
      <w:proofErr w:type="spellStart"/>
      <w:r w:rsidR="007651A9" w:rsidRPr="006F2594">
        <w:rPr>
          <w:rFonts w:ascii="Arial" w:hAnsi="Arial" w:cs="Arial"/>
          <w:sz w:val="20"/>
          <w:szCs w:val="20"/>
        </w:rPr>
        <w:t>горэлектросеть</w:t>
      </w:r>
      <w:proofErr w:type="spellEnd"/>
      <w:r w:rsidR="007651A9" w:rsidRPr="006F2594">
        <w:rPr>
          <w:rFonts w:ascii="Arial" w:hAnsi="Arial" w:cs="Arial"/>
          <w:sz w:val="20"/>
          <w:szCs w:val="20"/>
        </w:rPr>
        <w:t>»</w:t>
      </w:r>
      <w:r w:rsidRPr="006F2594">
        <w:rPr>
          <w:rFonts w:ascii="Arial" w:hAnsi="Arial" w:cs="Arial"/>
          <w:sz w:val="20"/>
          <w:szCs w:val="20"/>
        </w:rPr>
        <w:t>.</w:t>
      </w:r>
    </w:p>
    <w:p w:rsidR="00E674DB" w:rsidRPr="0098526B"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340" w:type="dxa"/>
        <w:tblInd w:w="99" w:type="dxa"/>
        <w:tblLook w:val="04A0"/>
      </w:tblPr>
      <w:tblGrid>
        <w:gridCol w:w="400"/>
        <w:gridCol w:w="6980"/>
        <w:gridCol w:w="640"/>
        <w:gridCol w:w="760"/>
        <w:gridCol w:w="1560"/>
      </w:tblGrid>
      <w:tr w:rsidR="0098526B" w:rsidRPr="00BF17B9" w:rsidTr="00725328">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26B" w:rsidRPr="00BF17B9" w:rsidRDefault="0098526B" w:rsidP="0098526B">
            <w:pPr>
              <w:jc w:val="center"/>
              <w:rPr>
                <w:rFonts w:ascii="Arial" w:hAnsi="Arial" w:cs="Arial"/>
                <w:sz w:val="16"/>
                <w:szCs w:val="16"/>
              </w:rPr>
            </w:pPr>
            <w:r w:rsidRPr="00BF17B9">
              <w:rPr>
                <w:rFonts w:ascii="Arial" w:hAnsi="Arial" w:cs="Arial"/>
                <w:sz w:val="16"/>
                <w:szCs w:val="16"/>
              </w:rPr>
              <w:t>№</w:t>
            </w:r>
          </w:p>
        </w:tc>
        <w:tc>
          <w:tcPr>
            <w:tcW w:w="6980" w:type="dxa"/>
            <w:tcBorders>
              <w:top w:val="single" w:sz="4" w:space="0" w:color="auto"/>
              <w:left w:val="nil"/>
              <w:bottom w:val="single" w:sz="4" w:space="0" w:color="auto"/>
              <w:right w:val="nil"/>
            </w:tcBorders>
            <w:shd w:val="clear" w:color="auto" w:fill="auto"/>
            <w:vAlign w:val="center"/>
            <w:hideMark/>
          </w:tcPr>
          <w:p w:rsidR="0098526B" w:rsidRPr="00BF17B9" w:rsidRDefault="0098526B" w:rsidP="0098526B">
            <w:pPr>
              <w:jc w:val="center"/>
              <w:rPr>
                <w:rFonts w:ascii="Arial" w:hAnsi="Arial" w:cs="Arial"/>
                <w:sz w:val="16"/>
                <w:szCs w:val="16"/>
              </w:rPr>
            </w:pPr>
            <w:r w:rsidRPr="00BF17B9">
              <w:rPr>
                <w:rFonts w:ascii="Arial" w:hAnsi="Arial" w:cs="Arial"/>
                <w:sz w:val="16"/>
                <w:szCs w:val="16"/>
              </w:rPr>
              <w:t>Наименование</w:t>
            </w:r>
            <w:r w:rsidRPr="00BF17B9">
              <w:rPr>
                <w:rFonts w:ascii="Arial" w:hAnsi="Arial" w:cs="Arial"/>
                <w:sz w:val="16"/>
                <w:szCs w:val="16"/>
              </w:rPr>
              <w:br/>
              <w:t>товара</w:t>
            </w:r>
          </w:p>
        </w:tc>
        <w:tc>
          <w:tcPr>
            <w:tcW w:w="640" w:type="dxa"/>
            <w:tcBorders>
              <w:top w:val="single" w:sz="4" w:space="0" w:color="auto"/>
              <w:left w:val="single" w:sz="4" w:space="0" w:color="auto"/>
              <w:bottom w:val="single" w:sz="4" w:space="0" w:color="auto"/>
              <w:right w:val="nil"/>
            </w:tcBorders>
            <w:shd w:val="clear" w:color="auto" w:fill="auto"/>
            <w:vAlign w:val="bottom"/>
            <w:hideMark/>
          </w:tcPr>
          <w:p w:rsidR="0098526B" w:rsidRPr="00BF17B9" w:rsidRDefault="0098526B" w:rsidP="0098526B">
            <w:pPr>
              <w:jc w:val="center"/>
              <w:rPr>
                <w:rFonts w:ascii="Arial" w:hAnsi="Arial" w:cs="Arial"/>
                <w:sz w:val="16"/>
                <w:szCs w:val="16"/>
              </w:rPr>
            </w:pPr>
            <w:r w:rsidRPr="00BF17B9">
              <w:rPr>
                <w:rFonts w:ascii="Arial" w:hAnsi="Arial" w:cs="Arial"/>
                <w:sz w:val="16"/>
                <w:szCs w:val="16"/>
              </w:rPr>
              <w:t>Ед.</w:t>
            </w:r>
            <w:r w:rsidRPr="00BF17B9">
              <w:rPr>
                <w:rFonts w:ascii="Arial" w:hAnsi="Arial" w:cs="Arial"/>
                <w:sz w:val="16"/>
                <w:szCs w:val="16"/>
              </w:rPr>
              <w:br/>
              <w:t>изм.</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98526B" w:rsidRPr="00BF17B9" w:rsidRDefault="00BF17B9" w:rsidP="0098526B">
            <w:pPr>
              <w:jc w:val="center"/>
              <w:rPr>
                <w:rFonts w:ascii="Arial" w:hAnsi="Arial" w:cs="Arial"/>
                <w:sz w:val="16"/>
                <w:szCs w:val="16"/>
              </w:rPr>
            </w:pPr>
            <w:r>
              <w:rPr>
                <w:rFonts w:ascii="Arial" w:hAnsi="Arial" w:cs="Arial"/>
                <w:sz w:val="16"/>
                <w:szCs w:val="16"/>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6B" w:rsidRPr="00BF17B9" w:rsidRDefault="00BF17B9" w:rsidP="00BF17B9">
            <w:pPr>
              <w:jc w:val="center"/>
              <w:rPr>
                <w:rFonts w:ascii="Arial" w:hAnsi="Arial" w:cs="Arial"/>
                <w:sz w:val="16"/>
                <w:szCs w:val="16"/>
              </w:rPr>
            </w:pPr>
            <w:r>
              <w:rPr>
                <w:rFonts w:ascii="Arial" w:hAnsi="Arial" w:cs="Arial"/>
                <w:sz w:val="16"/>
                <w:szCs w:val="16"/>
              </w:rPr>
              <w:t xml:space="preserve">Начальная максимальная цена </w:t>
            </w:r>
            <w:r w:rsidR="00371487">
              <w:rPr>
                <w:rFonts w:ascii="Arial" w:hAnsi="Arial" w:cs="Arial"/>
                <w:sz w:val="16"/>
                <w:szCs w:val="16"/>
              </w:rPr>
              <w:t xml:space="preserve">ед. </w:t>
            </w:r>
            <w:r>
              <w:rPr>
                <w:rFonts w:ascii="Arial" w:hAnsi="Arial" w:cs="Arial"/>
                <w:sz w:val="16"/>
                <w:szCs w:val="16"/>
              </w:rPr>
              <w:t>с НДС</w:t>
            </w:r>
          </w:p>
        </w:tc>
      </w:tr>
      <w:tr w:rsidR="0098526B" w:rsidRPr="00BF17B9" w:rsidTr="00725328">
        <w:trPr>
          <w:trHeight w:val="225"/>
        </w:trPr>
        <w:tc>
          <w:tcPr>
            <w:tcW w:w="400" w:type="dxa"/>
            <w:tcBorders>
              <w:top w:val="nil"/>
              <w:left w:val="single" w:sz="4" w:space="0" w:color="auto"/>
              <w:bottom w:val="single" w:sz="4" w:space="0" w:color="auto"/>
              <w:right w:val="single" w:sz="4" w:space="0" w:color="auto"/>
            </w:tcBorders>
            <w:shd w:val="clear" w:color="auto" w:fill="auto"/>
            <w:noWrap/>
            <w:hideMark/>
          </w:tcPr>
          <w:p w:rsidR="0098526B" w:rsidRPr="00BF17B9" w:rsidRDefault="0098526B" w:rsidP="0098526B">
            <w:pPr>
              <w:jc w:val="right"/>
              <w:rPr>
                <w:rFonts w:ascii="Arial" w:hAnsi="Arial" w:cs="Arial"/>
                <w:sz w:val="16"/>
                <w:szCs w:val="16"/>
              </w:rPr>
            </w:pPr>
            <w:r w:rsidRPr="00BF17B9">
              <w:rPr>
                <w:rFonts w:ascii="Arial" w:hAnsi="Arial" w:cs="Arial"/>
                <w:sz w:val="16"/>
                <w:szCs w:val="16"/>
              </w:rPr>
              <w:t>1</w:t>
            </w:r>
          </w:p>
        </w:tc>
        <w:tc>
          <w:tcPr>
            <w:tcW w:w="6980" w:type="dxa"/>
            <w:tcBorders>
              <w:top w:val="nil"/>
              <w:left w:val="nil"/>
              <w:bottom w:val="single" w:sz="4" w:space="0" w:color="auto"/>
              <w:right w:val="nil"/>
            </w:tcBorders>
            <w:shd w:val="clear" w:color="auto" w:fill="auto"/>
          </w:tcPr>
          <w:p w:rsidR="0098526B" w:rsidRPr="00725328" w:rsidRDefault="00725328" w:rsidP="0098526B">
            <w:pPr>
              <w:rPr>
                <w:rFonts w:ascii="Arial" w:hAnsi="Arial" w:cs="Arial"/>
                <w:sz w:val="16"/>
                <w:szCs w:val="16"/>
              </w:rPr>
            </w:pPr>
            <w:r>
              <w:rPr>
                <w:rFonts w:ascii="Arial" w:hAnsi="Arial" w:cs="Arial"/>
                <w:sz w:val="16"/>
                <w:szCs w:val="16"/>
              </w:rPr>
              <w:t xml:space="preserve">Бентонит Альбрехта </w:t>
            </w:r>
            <w:r>
              <w:rPr>
                <w:rFonts w:ascii="Arial" w:hAnsi="Arial" w:cs="Arial"/>
                <w:sz w:val="16"/>
                <w:szCs w:val="16"/>
                <w:lang w:val="en-US"/>
              </w:rPr>
              <w:t>MV</w:t>
            </w:r>
          </w:p>
        </w:tc>
        <w:tc>
          <w:tcPr>
            <w:tcW w:w="640" w:type="dxa"/>
            <w:tcBorders>
              <w:top w:val="nil"/>
              <w:left w:val="single" w:sz="4" w:space="0" w:color="auto"/>
              <w:bottom w:val="single" w:sz="4" w:space="0" w:color="auto"/>
              <w:right w:val="nil"/>
            </w:tcBorders>
            <w:shd w:val="clear" w:color="auto" w:fill="auto"/>
            <w:noWrap/>
            <w:vAlign w:val="bottom"/>
          </w:tcPr>
          <w:p w:rsidR="0098526B" w:rsidRPr="00C72791" w:rsidRDefault="00725328" w:rsidP="0098526B">
            <w:pPr>
              <w:jc w:val="center"/>
              <w:rPr>
                <w:rFonts w:ascii="Arial" w:hAnsi="Arial" w:cs="Arial"/>
                <w:sz w:val="16"/>
                <w:szCs w:val="16"/>
              </w:rPr>
            </w:pPr>
            <w:r>
              <w:rPr>
                <w:rFonts w:ascii="Arial" w:hAnsi="Arial" w:cs="Arial"/>
                <w:sz w:val="16"/>
                <w:szCs w:val="16"/>
              </w:rPr>
              <w:t>т</w:t>
            </w:r>
          </w:p>
        </w:tc>
        <w:tc>
          <w:tcPr>
            <w:tcW w:w="760" w:type="dxa"/>
            <w:tcBorders>
              <w:top w:val="nil"/>
              <w:left w:val="single" w:sz="4" w:space="0" w:color="auto"/>
              <w:bottom w:val="single" w:sz="4" w:space="0" w:color="auto"/>
              <w:right w:val="nil"/>
            </w:tcBorders>
            <w:shd w:val="clear" w:color="auto" w:fill="auto"/>
            <w:noWrap/>
            <w:vAlign w:val="bottom"/>
          </w:tcPr>
          <w:p w:rsidR="0098526B" w:rsidRPr="00BF17B9" w:rsidRDefault="00725328" w:rsidP="0098526B">
            <w:pPr>
              <w:jc w:val="right"/>
              <w:rPr>
                <w:rFonts w:ascii="Arial" w:hAnsi="Arial" w:cs="Arial"/>
                <w:sz w:val="16"/>
                <w:szCs w:val="16"/>
              </w:rPr>
            </w:pPr>
            <w:r>
              <w:rPr>
                <w:rFonts w:ascii="Arial" w:hAnsi="Arial" w:cs="Arial"/>
                <w:sz w:val="16"/>
                <w:szCs w:val="16"/>
              </w:rPr>
              <w:t>8</w:t>
            </w:r>
          </w:p>
        </w:tc>
        <w:tc>
          <w:tcPr>
            <w:tcW w:w="1560" w:type="dxa"/>
            <w:tcBorders>
              <w:top w:val="nil"/>
              <w:left w:val="single" w:sz="4" w:space="0" w:color="auto"/>
              <w:bottom w:val="single" w:sz="4" w:space="0" w:color="auto"/>
              <w:right w:val="single" w:sz="4" w:space="0" w:color="auto"/>
            </w:tcBorders>
            <w:shd w:val="clear" w:color="auto" w:fill="auto"/>
          </w:tcPr>
          <w:p w:rsidR="0098526B" w:rsidRPr="00BF17B9" w:rsidRDefault="00417C9C" w:rsidP="0098526B">
            <w:pPr>
              <w:jc w:val="right"/>
              <w:rPr>
                <w:rFonts w:ascii="Arial" w:hAnsi="Arial" w:cs="Arial"/>
                <w:sz w:val="16"/>
                <w:szCs w:val="16"/>
              </w:rPr>
            </w:pPr>
            <w:r>
              <w:rPr>
                <w:rFonts w:ascii="Arial" w:hAnsi="Arial" w:cs="Arial"/>
                <w:sz w:val="16"/>
                <w:szCs w:val="16"/>
              </w:rPr>
              <w:t>47 865,00</w:t>
            </w:r>
          </w:p>
        </w:tc>
      </w:tr>
    </w:tbl>
    <w:p w:rsidR="0098526B" w:rsidRPr="00633A03" w:rsidRDefault="0098526B" w:rsidP="0098526B">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r w:rsidR="0050636C" w:rsidRPr="00D927FB">
        <w:rPr>
          <w:rFonts w:ascii="Arial" w:hAnsi="Arial" w:cs="Arial"/>
          <w:sz w:val="20"/>
          <w:szCs w:val="20"/>
        </w:rPr>
        <w:t xml:space="preserve">в течение </w:t>
      </w:r>
      <w:r w:rsidR="00690279">
        <w:rPr>
          <w:rFonts w:ascii="Arial" w:hAnsi="Arial" w:cs="Arial"/>
          <w:sz w:val="20"/>
          <w:szCs w:val="20"/>
        </w:rPr>
        <w:t>10 календарных дней с момента заключения договора.</w:t>
      </w:r>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105CD0">
        <w:rPr>
          <w:rFonts w:ascii="Arial" w:hAnsi="Arial" w:cs="Arial"/>
          <w:sz w:val="20"/>
          <w:szCs w:val="20"/>
        </w:rPr>
        <w:t xml:space="preserve"> кв. 2022</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6F2594">
        <w:rPr>
          <w:rFonts w:ascii="Arial" w:hAnsi="Arial" w:cs="Arial"/>
          <w:color w:val="auto"/>
          <w:sz w:val="20"/>
          <w:szCs w:val="20"/>
        </w:rPr>
        <w:t xml:space="preserve">1.2         </w:t>
      </w:r>
      <w:bookmarkEnd w:id="15"/>
      <w:bookmarkEnd w:id="16"/>
      <w:bookmarkEnd w:id="17"/>
      <w:bookmarkEnd w:id="18"/>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xml:space="preserve">, запросом </w:t>
      </w:r>
      <w:proofErr w:type="spellStart"/>
      <w:r w:rsidR="00832397">
        <w:rPr>
          <w:rFonts w:ascii="Arial" w:hAnsi="Arial" w:cs="Arial"/>
          <w:sz w:val="20"/>
          <w:szCs w:val="20"/>
        </w:rPr>
        <w:t>котеровок</w:t>
      </w:r>
      <w:proofErr w:type="spellEnd"/>
      <w:r w:rsidR="00832397">
        <w:rPr>
          <w:rFonts w:ascii="Arial" w:hAnsi="Arial" w:cs="Arial"/>
          <w:sz w:val="20"/>
          <w:szCs w:val="20"/>
        </w:rPr>
        <w:t>,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lastRenderedPageBreak/>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6F2594">
        <w:rPr>
          <w:rFonts w:ascii="Arial" w:hAnsi="Arial" w:cs="Arial"/>
          <w:color w:val="auto"/>
          <w:sz w:val="20"/>
          <w:szCs w:val="20"/>
        </w:rPr>
        <w:t xml:space="preserve">      Обжалование</w:t>
      </w:r>
      <w:bookmarkEnd w:id="21"/>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r w:rsidR="007A2665">
        <w:rPr>
          <w:rFonts w:ascii="Arial" w:hAnsi="Arial" w:cs="Arial"/>
          <w:sz w:val="20"/>
          <w:szCs w:val="20"/>
        </w:rPr>
        <w:t xml:space="preserve"> </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6F2594">
        <w:rPr>
          <w:rFonts w:ascii="Arial" w:hAnsi="Arial" w:cs="Arial"/>
          <w:color w:val="auto"/>
          <w:sz w:val="20"/>
          <w:szCs w:val="20"/>
        </w:rPr>
        <w:t>1.4        Прочие положения</w:t>
      </w:r>
      <w:bookmarkEnd w:id="23"/>
      <w:r w:rsidR="007A2665">
        <w:rPr>
          <w:rFonts w:ascii="Arial" w:hAnsi="Arial" w:cs="Arial"/>
          <w:color w:val="auto"/>
          <w:sz w:val="20"/>
          <w:szCs w:val="20"/>
        </w:rPr>
        <w:t>.</w:t>
      </w:r>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FC2ED3" w:rsidRPr="00FC2ED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r w:rsidR="007A2665">
        <w:rPr>
          <w:rFonts w:ascii="Arial" w:hAnsi="Arial" w:cs="Arial"/>
          <w:sz w:val="20"/>
          <w:szCs w:val="20"/>
        </w:rPr>
        <w:t>.</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8"/>
      <w:r w:rsidR="00DE5D54" w:rsidRPr="006F2594">
        <w:rPr>
          <w:rFonts w:ascii="Arial" w:hAnsi="Arial" w:cs="Arial"/>
          <w:sz w:val="20"/>
          <w:szCs w:val="20"/>
        </w:rPr>
        <w:t>Заявок</w:t>
      </w:r>
      <w:bookmarkEnd w:id="29"/>
      <w:bookmarkEnd w:id="30"/>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1" w:name="_Toc343613528"/>
      <w:r w:rsidRPr="006F2594">
        <w:rPr>
          <w:rFonts w:ascii="Arial" w:hAnsi="Arial" w:cs="Arial"/>
          <w:color w:val="auto"/>
          <w:sz w:val="20"/>
          <w:szCs w:val="20"/>
        </w:rPr>
        <w:t>3.1. Общий порядок проведения Запроса цен</w:t>
      </w:r>
      <w:bookmarkEnd w:id="31"/>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 xml:space="preserve">публикация Извещения о проведении запроса цен и Документации </w:t>
      </w:r>
      <w:r w:rsidR="007A2665">
        <w:rPr>
          <w:rFonts w:ascii="Arial" w:hAnsi="Arial" w:cs="Arial"/>
          <w:sz w:val="20"/>
          <w:szCs w:val="20"/>
        </w:rPr>
        <w:t>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B979F5"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B979F5" w:rsidRPr="006F2594">
        <w:rPr>
          <w:rFonts w:ascii="Arial" w:hAnsi="Arial" w:cs="Arial"/>
          <w:sz w:val="20"/>
          <w:szCs w:val="20"/>
        </w:rPr>
      </w:r>
      <w:r w:rsidR="00B979F5"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6F2594">
        <w:rPr>
          <w:rFonts w:ascii="Arial" w:hAnsi="Arial" w:cs="Arial"/>
          <w:sz w:val="20"/>
          <w:szCs w:val="20"/>
        </w:rPr>
        <w:t xml:space="preserve">подача Заявок и их прием, изменение и отзыв Заявки (подразделы </w:t>
      </w:r>
      <w:r w:rsidR="00B979F5"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B979F5" w:rsidRPr="006F2594">
        <w:rPr>
          <w:rFonts w:ascii="Arial" w:hAnsi="Arial" w:cs="Arial"/>
          <w:sz w:val="20"/>
          <w:szCs w:val="20"/>
        </w:rPr>
      </w:r>
      <w:r w:rsidR="00B979F5" w:rsidRPr="006F2594">
        <w:rPr>
          <w:rFonts w:ascii="Arial" w:hAnsi="Arial" w:cs="Arial"/>
          <w:sz w:val="20"/>
          <w:szCs w:val="20"/>
        </w:rPr>
        <w:fldChar w:fldCharType="end"/>
      </w:r>
      <w:r w:rsidR="007A2665">
        <w:rPr>
          <w:rFonts w:ascii="Arial" w:hAnsi="Arial" w:cs="Arial"/>
          <w:sz w:val="20"/>
          <w:szCs w:val="20"/>
        </w:rPr>
        <w:t>3.4., 3.5);</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6F2594">
        <w:rPr>
          <w:rFonts w:ascii="Arial" w:hAnsi="Arial" w:cs="Arial"/>
          <w:sz w:val="20"/>
          <w:szCs w:val="20"/>
        </w:rPr>
        <w:t>оценка Заявок (подраздел 3.6.</w:t>
      </w:r>
      <w:r w:rsidR="00B979F5"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B979F5" w:rsidRPr="006F2594">
        <w:rPr>
          <w:rFonts w:ascii="Arial" w:hAnsi="Arial" w:cs="Arial"/>
          <w:sz w:val="20"/>
          <w:szCs w:val="20"/>
        </w:rPr>
      </w:r>
      <w:r w:rsidR="00B979F5"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6F2594">
        <w:rPr>
          <w:rFonts w:ascii="Arial" w:hAnsi="Arial" w:cs="Arial"/>
          <w:sz w:val="20"/>
          <w:szCs w:val="20"/>
        </w:rPr>
        <w:t>подведение итогов Запроса цен (подраздел 3.7.</w:t>
      </w:r>
      <w:r w:rsidR="00B979F5"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B979F5" w:rsidRPr="006F2594">
        <w:rPr>
          <w:rFonts w:ascii="Arial" w:hAnsi="Arial" w:cs="Arial"/>
          <w:sz w:val="20"/>
          <w:szCs w:val="20"/>
        </w:rPr>
      </w:r>
      <w:r w:rsidR="00B979F5"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r w:rsidR="007A2665">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6F2594">
        <w:rPr>
          <w:rFonts w:ascii="Arial" w:hAnsi="Arial" w:cs="Arial"/>
          <w:color w:val="auto"/>
          <w:sz w:val="20"/>
          <w:szCs w:val="20"/>
        </w:rPr>
        <w:t>3.2. Публикация Извещения о проведении запроса цен и Документации</w:t>
      </w:r>
      <w:bookmarkEnd w:id="36"/>
      <w:r w:rsidRPr="006F2594">
        <w:rPr>
          <w:rFonts w:ascii="Arial" w:hAnsi="Arial" w:cs="Arial"/>
          <w:color w:val="auto"/>
          <w:sz w:val="20"/>
          <w:szCs w:val="20"/>
        </w:rPr>
        <w:t xml:space="preserve"> по запросу цен</w:t>
      </w:r>
      <w:bookmarkEnd w:id="37"/>
      <w:bookmarkEnd w:id="38"/>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C2ED3" w:rsidRPr="00FC2ED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0"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3830B5">
        <w:rPr>
          <w:rFonts w:ascii="Arial" w:hAnsi="Arial" w:cs="Arial"/>
          <w:sz w:val="20"/>
          <w:szCs w:val="20"/>
        </w:rPr>
        <w:t xml:space="preserve">) и на официальном сайте </w:t>
      </w:r>
      <w:r w:rsidR="00B977E1" w:rsidRPr="006F2594">
        <w:rPr>
          <w:rFonts w:ascii="Arial" w:hAnsi="Arial" w:cs="Arial"/>
          <w:sz w:val="20"/>
          <w:szCs w:val="20"/>
        </w:rPr>
        <w:t xml:space="preserve">АО «Пензенская </w:t>
      </w:r>
      <w:proofErr w:type="spellStart"/>
      <w:r w:rsidR="00B977E1" w:rsidRPr="006F2594">
        <w:rPr>
          <w:rFonts w:ascii="Arial" w:hAnsi="Arial" w:cs="Arial"/>
          <w:sz w:val="20"/>
          <w:szCs w:val="20"/>
        </w:rPr>
        <w:t>горэлектросеть</w:t>
      </w:r>
      <w:proofErr w:type="spellEnd"/>
      <w:r w:rsidR="00B977E1" w:rsidRPr="006F2594">
        <w:rPr>
          <w:rFonts w:ascii="Arial" w:hAnsi="Arial" w:cs="Arial"/>
          <w:sz w:val="20"/>
          <w:szCs w:val="20"/>
        </w:rPr>
        <w:t>»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6F2594">
        <w:rPr>
          <w:rFonts w:ascii="Arial" w:hAnsi="Arial" w:cs="Arial"/>
          <w:color w:val="auto"/>
          <w:sz w:val="20"/>
          <w:szCs w:val="20"/>
        </w:rPr>
        <w:t xml:space="preserve">3.3. Подготовка </w:t>
      </w:r>
      <w:bookmarkEnd w:id="41"/>
      <w:r w:rsidRPr="006F2594">
        <w:rPr>
          <w:rFonts w:ascii="Arial" w:hAnsi="Arial" w:cs="Arial"/>
          <w:color w:val="auto"/>
          <w:sz w:val="20"/>
          <w:szCs w:val="20"/>
        </w:rPr>
        <w:t>Заявок</w:t>
      </w:r>
      <w:bookmarkEnd w:id="42"/>
      <w:bookmarkEnd w:id="43"/>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6F2594">
        <w:rPr>
          <w:rFonts w:ascii="Arial" w:hAnsi="Arial" w:cs="Arial"/>
          <w:color w:val="auto"/>
          <w:sz w:val="20"/>
          <w:szCs w:val="20"/>
        </w:rPr>
        <w:t>3.3.1.Общие требования к Заявке</w:t>
      </w:r>
      <w:bookmarkEnd w:id="44"/>
      <w:bookmarkEnd w:id="45"/>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C2ED3" w:rsidRPr="00FC2ED3">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7"/>
      <w:bookmarkEnd w:id="48"/>
      <w:bookmarkEnd w:id="49"/>
      <w:bookmarkEnd w:id="50"/>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lastRenderedPageBreak/>
        <w:t xml:space="preserve"> - наименование и адрес Организатора открытого запроса </w:t>
      </w:r>
      <w:r w:rsidR="003830B5">
        <w:rPr>
          <w:rFonts w:ascii="Arial" w:hAnsi="Arial" w:cs="Arial"/>
          <w:sz w:val="20"/>
          <w:szCs w:val="20"/>
        </w:rPr>
        <w:t xml:space="preserve">цен: </w:t>
      </w:r>
      <w:r w:rsidR="00016032" w:rsidRPr="006F2594">
        <w:rPr>
          <w:rFonts w:ascii="Arial" w:hAnsi="Arial" w:cs="Arial"/>
          <w:sz w:val="20"/>
          <w:szCs w:val="20"/>
        </w:rPr>
        <w:t>АО «П</w:t>
      </w:r>
      <w:r w:rsidR="00387462" w:rsidRPr="006F2594">
        <w:rPr>
          <w:rFonts w:ascii="Arial" w:hAnsi="Arial" w:cs="Arial"/>
          <w:sz w:val="20"/>
          <w:szCs w:val="20"/>
        </w:rPr>
        <w:t xml:space="preserve">ензенская </w:t>
      </w:r>
      <w:proofErr w:type="spellStart"/>
      <w:r w:rsidR="00387462" w:rsidRPr="006F2594">
        <w:rPr>
          <w:rFonts w:ascii="Arial" w:hAnsi="Arial" w:cs="Arial"/>
          <w:sz w:val="20"/>
          <w:szCs w:val="20"/>
        </w:rPr>
        <w:t>горэлектросеть</w:t>
      </w:r>
      <w:proofErr w:type="spellEnd"/>
      <w:r w:rsidR="00387462" w:rsidRPr="006F2594">
        <w:rPr>
          <w:rFonts w:ascii="Arial" w:hAnsi="Arial" w:cs="Arial"/>
          <w:sz w:val="20"/>
          <w:szCs w:val="20"/>
        </w:rPr>
        <w:t>»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 В, кабинет 106</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1" w:name="_Ref306008743"/>
      <w:bookmarkStart w:id="52"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1"/>
      <w:bookmarkEnd w:id="52"/>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4" w:name="_Toc343613535"/>
      <w:r w:rsidRPr="006F2594">
        <w:rPr>
          <w:rFonts w:ascii="Arial" w:hAnsi="Arial" w:cs="Arial"/>
          <w:color w:val="auto"/>
          <w:sz w:val="20"/>
          <w:szCs w:val="20"/>
        </w:rPr>
        <w:t>3.3.5. Требования к языку Заявки</w:t>
      </w:r>
      <w:bookmarkEnd w:id="54"/>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6"/>
      <w:r w:rsidRPr="006F2594">
        <w:rPr>
          <w:rFonts w:ascii="Arial" w:hAnsi="Arial" w:cs="Arial"/>
          <w:color w:val="auto"/>
          <w:sz w:val="20"/>
          <w:szCs w:val="20"/>
        </w:rPr>
        <w:t>3.3.6. Требования к валюте Заявки</w:t>
      </w:r>
      <w:bookmarkEnd w:id="55"/>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7"/>
      <w:r w:rsidRPr="006F2594">
        <w:rPr>
          <w:rFonts w:ascii="Arial" w:hAnsi="Arial" w:cs="Arial"/>
          <w:color w:val="auto"/>
          <w:sz w:val="20"/>
          <w:szCs w:val="20"/>
        </w:rPr>
        <w:t>3.3.7. Начальная (максимальная) цена Договора (цена лота)</w:t>
      </w:r>
      <w:bookmarkEnd w:id="56"/>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417C9C">
        <w:rPr>
          <w:rFonts w:ascii="Arial" w:hAnsi="Arial" w:cs="Arial"/>
          <w:b/>
          <w:sz w:val="20"/>
          <w:szCs w:val="20"/>
        </w:rPr>
        <w:t>382 920,00</w:t>
      </w:r>
      <w:r w:rsidR="00690279">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417C9C">
        <w:rPr>
          <w:rFonts w:ascii="Arial" w:hAnsi="Arial" w:cs="Arial"/>
          <w:b/>
          <w:sz w:val="20"/>
          <w:szCs w:val="20"/>
        </w:rPr>
        <w:t>319 100,00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5D2E7D" w:rsidRPr="006F2594" w:rsidRDefault="005D2E7D"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В случае если в предложении участника указана стоимость продукции </w:t>
      </w:r>
      <w:r w:rsidR="004510AC">
        <w:rPr>
          <w:rFonts w:ascii="Arial" w:hAnsi="Arial" w:cs="Arial"/>
          <w:sz w:val="20"/>
          <w:szCs w:val="20"/>
        </w:rPr>
        <w:t>без</w:t>
      </w:r>
      <w:r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Pr="006F2594">
        <w:rPr>
          <w:rFonts w:ascii="Arial" w:hAnsi="Arial" w:cs="Arial"/>
          <w:sz w:val="20"/>
          <w:szCs w:val="20"/>
        </w:rPr>
        <w:t xml:space="preserve">с целью сопоставления ценовых </w:t>
      </w:r>
      <w:r w:rsidR="00AA42C0">
        <w:rPr>
          <w:rFonts w:ascii="Arial" w:hAnsi="Arial" w:cs="Arial"/>
          <w:sz w:val="20"/>
          <w:szCs w:val="20"/>
        </w:rPr>
        <w:t>заявок</w:t>
      </w:r>
      <w:r w:rsidRPr="006F2594">
        <w:rPr>
          <w:rFonts w:ascii="Arial" w:hAnsi="Arial" w:cs="Arial"/>
          <w:sz w:val="20"/>
          <w:szCs w:val="20"/>
        </w:rPr>
        <w:t xml:space="preserve"> участников будет осуществлять </w:t>
      </w:r>
      <w:r w:rsidR="00AA42C0">
        <w:rPr>
          <w:rFonts w:ascii="Arial" w:hAnsi="Arial" w:cs="Arial"/>
          <w:sz w:val="20"/>
          <w:szCs w:val="20"/>
        </w:rPr>
        <w:t xml:space="preserve">оценку заявок </w:t>
      </w:r>
      <w:r w:rsidR="00E20D97" w:rsidRPr="006F2594">
        <w:rPr>
          <w:rFonts w:ascii="Arial" w:hAnsi="Arial" w:cs="Arial"/>
          <w:sz w:val="20"/>
          <w:szCs w:val="20"/>
        </w:rPr>
        <w:t>без учёта</w:t>
      </w:r>
      <w:r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6F2594">
        <w:rPr>
          <w:rFonts w:ascii="Arial" w:hAnsi="Arial" w:cs="Arial"/>
          <w:sz w:val="20"/>
          <w:szCs w:val="20"/>
        </w:rPr>
        <w:t>Требования к Участникам</w:t>
      </w:r>
      <w:bookmarkEnd w:id="61"/>
      <w:r w:rsidRPr="006F2594">
        <w:rPr>
          <w:rFonts w:ascii="Arial" w:hAnsi="Arial" w:cs="Arial"/>
          <w:sz w:val="20"/>
          <w:szCs w:val="20"/>
        </w:rPr>
        <w:t>:</w:t>
      </w:r>
      <w:bookmarkEnd w:id="62"/>
    </w:p>
    <w:p w:rsidR="00DE5D54" w:rsidRPr="006F2594" w:rsidRDefault="00DE5D54" w:rsidP="006F2594">
      <w:pPr>
        <w:keepNext/>
        <w:keepLines/>
        <w:widowControl w:val="0"/>
        <w:tabs>
          <w:tab w:val="left" w:pos="0"/>
          <w:tab w:val="left" w:pos="1080"/>
        </w:tabs>
        <w:rPr>
          <w:rFonts w:ascii="Arial" w:hAnsi="Arial" w:cs="Arial"/>
          <w:sz w:val="20"/>
          <w:szCs w:val="20"/>
        </w:rPr>
      </w:pPr>
      <w:bookmarkStart w:id="63"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6F2594">
        <w:rPr>
          <w:rFonts w:ascii="Arial" w:hAnsi="Arial" w:cs="Arial"/>
          <w:sz w:val="20"/>
          <w:szCs w:val="20"/>
        </w:rPr>
        <w:t>:</w:t>
      </w:r>
      <w:bookmarkEnd w:id="65"/>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lastRenderedPageBreak/>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w:t>
      </w:r>
      <w:r w:rsidR="003830B5">
        <w:rPr>
          <w:rFonts w:ascii="Arial" w:hAnsi="Arial" w:cs="Arial"/>
        </w:rPr>
        <w:t xml:space="preserve">негативный опыт работы с </w:t>
      </w:r>
      <w:r w:rsidRPr="006F2594">
        <w:rPr>
          <w:rFonts w:ascii="Arial" w:hAnsi="Arial" w:cs="Arial"/>
        </w:rPr>
        <w:t xml:space="preserve">АО «Пензенская </w:t>
      </w:r>
      <w:proofErr w:type="spellStart"/>
      <w:r w:rsidRPr="006F2594">
        <w:rPr>
          <w:rFonts w:ascii="Arial" w:hAnsi="Arial" w:cs="Arial"/>
        </w:rPr>
        <w:t>горэлектросеть</w:t>
      </w:r>
      <w:proofErr w:type="spellEnd"/>
      <w:r w:rsidRPr="006F2594">
        <w:rPr>
          <w:rFonts w:ascii="Arial" w:hAnsi="Arial" w:cs="Arial"/>
        </w:rPr>
        <w:t>»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w:t>
      </w:r>
      <w:r w:rsidR="003830B5">
        <w:rPr>
          <w:rFonts w:ascii="Arial" w:hAnsi="Arial" w:cs="Arial"/>
        </w:rPr>
        <w:t xml:space="preserve">е заключенным договорам с </w:t>
      </w:r>
      <w:r w:rsidRPr="006F2594">
        <w:rPr>
          <w:rFonts w:ascii="Arial" w:hAnsi="Arial" w:cs="Arial"/>
        </w:rPr>
        <w:t xml:space="preserve">АО «Пензенская </w:t>
      </w:r>
      <w:proofErr w:type="spellStart"/>
      <w:r w:rsidRPr="006F2594">
        <w:rPr>
          <w:rFonts w:ascii="Arial" w:hAnsi="Arial" w:cs="Arial"/>
        </w:rPr>
        <w:t>горэлектросеть</w:t>
      </w:r>
      <w:proofErr w:type="spellEnd"/>
      <w:r w:rsidRPr="006F2594">
        <w:rPr>
          <w:rFonts w:ascii="Arial" w:hAnsi="Arial" w:cs="Arial"/>
        </w:rPr>
        <w:t>»).</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xml:space="preserve">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7E11E2">
        <w:rPr>
          <w:rFonts w:ascii="Arial" w:hAnsi="Arial" w:cs="Arial"/>
          <w:sz w:val="20"/>
          <w:szCs w:val="20"/>
        </w:rPr>
        <w:t>по форме, утвержденной Приказом</w:t>
      </w:r>
      <w:r w:rsidR="007E11E2" w:rsidRPr="00CC24A3">
        <w:rPr>
          <w:rFonts w:ascii="Arial" w:hAnsi="Arial" w:cs="Arial"/>
          <w:sz w:val="20"/>
          <w:szCs w:val="20"/>
        </w:rPr>
        <w:t xml:space="preserve"> ФНС России от 23.11.2022 № ЕД-7-8/1123@</w:t>
      </w:r>
      <w:r w:rsidRPr="006F2594">
        <w:rPr>
          <w:rFonts w:ascii="Arial" w:hAnsi="Arial" w:cs="Arial"/>
          <w:sz w:val="20"/>
          <w:szCs w:val="20"/>
        </w:rPr>
        <w:t>г.</w:t>
      </w:r>
      <w:r w:rsidR="007E11E2">
        <w:rPr>
          <w:rFonts w:ascii="Arial" w:hAnsi="Arial" w:cs="Arial"/>
          <w:sz w:val="20"/>
          <w:szCs w:val="20"/>
        </w:rPr>
        <w:t>)</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7" w:name="_Ref303668916"/>
      <w:r w:rsidRPr="006F2594">
        <w:rPr>
          <w:rFonts w:ascii="Arial" w:hAnsi="Arial" w:cs="Arial"/>
          <w:bCs/>
          <w:sz w:val="20"/>
          <w:szCs w:val="20"/>
        </w:rPr>
        <w:t>3.3.8.4 Документы, подтверждающие квалификацию Участника запроса цен:</w:t>
      </w:r>
    </w:p>
    <w:bookmarkEnd w:id="67"/>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6F2594">
        <w:rPr>
          <w:rFonts w:ascii="Arial" w:hAnsi="Arial" w:cs="Arial"/>
          <w:sz w:val="20"/>
          <w:szCs w:val="20"/>
        </w:rPr>
        <w:t>апостилированы</w:t>
      </w:r>
      <w:proofErr w:type="spellEnd"/>
      <w:r w:rsidR="00DE5D54" w:rsidRPr="006F2594">
        <w:rPr>
          <w:rFonts w:ascii="Arial" w:hAnsi="Arial" w:cs="Arial"/>
          <w:sz w:val="20"/>
          <w:szCs w:val="20"/>
        </w:rPr>
        <w:t>,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6F2594">
        <w:rPr>
          <w:rFonts w:ascii="Arial" w:hAnsi="Arial" w:cs="Arial"/>
          <w:color w:val="auto"/>
          <w:sz w:val="20"/>
          <w:szCs w:val="20"/>
        </w:rPr>
        <w:lastRenderedPageBreak/>
        <w:t>Разъяснение Документации по запросу цен</w:t>
      </w:r>
      <w:bookmarkEnd w:id="68"/>
      <w:bookmarkEnd w:id="69"/>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3830B5">
        <w:rPr>
          <w:rFonts w:ascii="Arial" w:hAnsi="Arial" w:cs="Arial"/>
          <w:b/>
          <w:sz w:val="20"/>
          <w:szCs w:val="20"/>
        </w:rPr>
        <w:t>10</w:t>
      </w:r>
      <w:r w:rsidR="00A62B0B">
        <w:rPr>
          <w:rFonts w:ascii="Arial" w:hAnsi="Arial" w:cs="Arial"/>
          <w:b/>
          <w:sz w:val="20"/>
          <w:szCs w:val="20"/>
        </w:rPr>
        <w:t>.0</w:t>
      </w:r>
      <w:r w:rsidR="003830B5">
        <w:rPr>
          <w:rFonts w:ascii="Arial" w:hAnsi="Arial" w:cs="Arial"/>
          <w:b/>
          <w:sz w:val="20"/>
          <w:szCs w:val="20"/>
        </w:rPr>
        <w:t>3</w:t>
      </w:r>
      <w:r w:rsidR="004B1714" w:rsidRPr="00DB3A1E">
        <w:rPr>
          <w:rFonts w:ascii="Arial" w:hAnsi="Arial" w:cs="Arial"/>
          <w:b/>
          <w:sz w:val="20"/>
          <w:szCs w:val="20"/>
        </w:rPr>
        <w:t>.20</w:t>
      </w:r>
      <w:r w:rsidR="00A62B0B">
        <w:rPr>
          <w:rFonts w:ascii="Arial" w:hAnsi="Arial" w:cs="Arial"/>
          <w:b/>
          <w:sz w:val="20"/>
          <w:szCs w:val="20"/>
        </w:rPr>
        <w:t>23</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1"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w:t>
        </w:r>
        <w:proofErr w:type="spellStart"/>
        <w:r w:rsidR="006F6925" w:rsidRPr="006F2594">
          <w:rPr>
            <w:rStyle w:val="ad"/>
            <w:rFonts w:ascii="Arial" w:hAnsi="Arial" w:cs="Arial"/>
            <w:color w:val="auto"/>
            <w:sz w:val="20"/>
            <w:szCs w:val="20"/>
          </w:rPr>
          <w:t>ru</w:t>
        </w:r>
        <w:proofErr w:type="spellEnd"/>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6F2594">
        <w:rPr>
          <w:rFonts w:ascii="Arial" w:hAnsi="Arial" w:cs="Arial"/>
          <w:color w:val="auto"/>
          <w:sz w:val="20"/>
          <w:szCs w:val="20"/>
        </w:rPr>
        <w:t>Внесение изменений в Документацию по запросу цен.</w:t>
      </w:r>
      <w:bookmarkEnd w:id="70"/>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1" w:name="_Toc343613543"/>
      <w:r w:rsidRPr="006F2594">
        <w:rPr>
          <w:rFonts w:ascii="Arial" w:hAnsi="Arial" w:cs="Arial"/>
          <w:color w:val="auto"/>
          <w:sz w:val="20"/>
          <w:szCs w:val="20"/>
        </w:rPr>
        <w:t>3.3.11. Продление срока окончания приема Заявок</w:t>
      </w:r>
      <w:bookmarkEnd w:id="71"/>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2" w:name="_Ref191386249"/>
      <w:bookmarkStart w:id="73" w:name="_Ref305973214"/>
      <w:bookmarkStart w:id="74" w:name="_Toc343613545"/>
      <w:r w:rsidRPr="006F2594">
        <w:rPr>
          <w:rFonts w:ascii="Arial" w:hAnsi="Arial" w:cs="Arial"/>
          <w:color w:val="auto"/>
          <w:sz w:val="20"/>
          <w:szCs w:val="20"/>
        </w:rPr>
        <w:t>3.4. Подача Заявок и их прием</w:t>
      </w:r>
      <w:bookmarkStart w:id="75" w:name="_Ref56229451"/>
      <w:bookmarkEnd w:id="72"/>
      <w:bookmarkEnd w:id="73"/>
      <w:bookmarkEnd w:id="74"/>
    </w:p>
    <w:p w:rsidR="00DE5D54" w:rsidRPr="006F2594" w:rsidRDefault="00DE5D54" w:rsidP="006F2594">
      <w:pPr>
        <w:pStyle w:val="30"/>
        <w:widowControl w:val="0"/>
        <w:spacing w:before="0"/>
        <w:rPr>
          <w:rFonts w:ascii="Arial" w:hAnsi="Arial" w:cs="Arial"/>
          <w:color w:val="auto"/>
          <w:sz w:val="20"/>
          <w:szCs w:val="20"/>
        </w:rPr>
      </w:pPr>
      <w:bookmarkStart w:id="76" w:name="_Toc343613546"/>
      <w:r w:rsidRPr="006F2594">
        <w:rPr>
          <w:rFonts w:ascii="Arial" w:hAnsi="Arial" w:cs="Arial"/>
          <w:color w:val="auto"/>
          <w:sz w:val="20"/>
          <w:szCs w:val="20"/>
        </w:rPr>
        <w:t xml:space="preserve">3.4.1. Подача Заявок </w:t>
      </w:r>
      <w:bookmarkEnd w:id="76"/>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3830B5">
        <w:rPr>
          <w:rFonts w:ascii="Arial" w:hAnsi="Arial" w:cs="Arial"/>
          <w:b/>
          <w:i/>
          <w:sz w:val="20"/>
          <w:szCs w:val="20"/>
          <w:u w:val="single"/>
        </w:rPr>
        <w:t>13</w:t>
      </w:r>
      <w:r w:rsidR="00A62B0B">
        <w:rPr>
          <w:rFonts w:ascii="Arial" w:hAnsi="Arial" w:cs="Arial"/>
          <w:b/>
          <w:i/>
          <w:sz w:val="20"/>
          <w:szCs w:val="20"/>
          <w:u w:val="single"/>
        </w:rPr>
        <w:t>.0</w:t>
      </w:r>
      <w:r w:rsidR="003830B5">
        <w:rPr>
          <w:rFonts w:ascii="Arial" w:hAnsi="Arial" w:cs="Arial"/>
          <w:b/>
          <w:i/>
          <w:sz w:val="20"/>
          <w:szCs w:val="20"/>
          <w:u w:val="single"/>
        </w:rPr>
        <w:t>3</w:t>
      </w:r>
      <w:r w:rsidR="004B1714" w:rsidRPr="00DB3A1E">
        <w:rPr>
          <w:rFonts w:ascii="Arial" w:hAnsi="Arial" w:cs="Arial"/>
          <w:b/>
          <w:i/>
          <w:sz w:val="20"/>
          <w:szCs w:val="20"/>
          <w:u w:val="single"/>
        </w:rPr>
        <w:t>.20</w:t>
      </w:r>
      <w:r w:rsidR="00A62B0B">
        <w:rPr>
          <w:rFonts w:ascii="Arial" w:hAnsi="Arial" w:cs="Arial"/>
          <w:b/>
          <w:i/>
          <w:sz w:val="20"/>
          <w:szCs w:val="20"/>
          <w:u w:val="single"/>
        </w:rPr>
        <w:t>23</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r w:rsidR="00CF44A3">
        <w:rPr>
          <w:rFonts w:ascii="Arial" w:hAnsi="Arial" w:cs="Arial"/>
          <w:b/>
          <w:i/>
          <w:sz w:val="20"/>
          <w:szCs w:val="20"/>
        </w:rPr>
        <w:t xml:space="preserve"> </w:t>
      </w:r>
      <w:r w:rsidR="003830B5">
        <w:rPr>
          <w:rFonts w:ascii="Arial" w:hAnsi="Arial" w:cs="Arial"/>
          <w:b/>
          <w:i/>
          <w:sz w:val="20"/>
          <w:szCs w:val="20"/>
          <w:u w:val="single"/>
        </w:rPr>
        <w:t>13</w:t>
      </w:r>
      <w:r w:rsidR="00A62B0B">
        <w:rPr>
          <w:rFonts w:ascii="Arial" w:hAnsi="Arial" w:cs="Arial"/>
          <w:b/>
          <w:i/>
          <w:sz w:val="20"/>
          <w:szCs w:val="20"/>
          <w:u w:val="single"/>
        </w:rPr>
        <w:t>.0</w:t>
      </w:r>
      <w:r w:rsidR="003830B5">
        <w:rPr>
          <w:rFonts w:ascii="Arial" w:hAnsi="Arial" w:cs="Arial"/>
          <w:b/>
          <w:i/>
          <w:sz w:val="20"/>
          <w:szCs w:val="20"/>
          <w:u w:val="single"/>
        </w:rPr>
        <w:t>3</w:t>
      </w:r>
      <w:r w:rsidR="00D95C45" w:rsidRPr="00DB3A1E">
        <w:rPr>
          <w:rFonts w:ascii="Arial" w:hAnsi="Arial" w:cs="Arial"/>
          <w:b/>
          <w:i/>
          <w:sz w:val="20"/>
          <w:szCs w:val="20"/>
          <w:u w:val="single"/>
        </w:rPr>
        <w:t>.20</w:t>
      </w:r>
      <w:r w:rsidR="00A62B0B">
        <w:rPr>
          <w:rFonts w:ascii="Arial" w:hAnsi="Arial" w:cs="Arial"/>
          <w:b/>
          <w:i/>
          <w:sz w:val="20"/>
          <w:szCs w:val="20"/>
          <w:u w:val="single"/>
        </w:rPr>
        <w:t>23</w:t>
      </w:r>
      <w:r w:rsidRPr="00DB3A1E">
        <w:rPr>
          <w:rFonts w:ascii="Arial" w:hAnsi="Arial" w:cs="Arial"/>
          <w:b/>
          <w:i/>
          <w:sz w:val="20"/>
          <w:szCs w:val="20"/>
          <w:u w:val="single"/>
        </w:rPr>
        <w:t xml:space="preserve"> года.</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5"/>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4510AC">
        <w:rPr>
          <w:rFonts w:ascii="Arial" w:hAnsi="Arial" w:cs="Arial"/>
          <w:sz w:val="20"/>
          <w:szCs w:val="20"/>
        </w:rPr>
        <w:t>кабинет №106</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6F2594">
        <w:rPr>
          <w:rFonts w:ascii="Arial" w:hAnsi="Arial" w:cs="Arial"/>
          <w:color w:val="auto"/>
          <w:sz w:val="20"/>
          <w:szCs w:val="20"/>
        </w:rPr>
        <w:t>Изменение и отзыв Заявки</w:t>
      </w:r>
      <w:bookmarkEnd w:id="77"/>
      <w:bookmarkEnd w:id="78"/>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6F2594">
        <w:rPr>
          <w:rFonts w:ascii="Arial" w:hAnsi="Arial" w:cs="Arial"/>
          <w:color w:val="auto"/>
          <w:sz w:val="20"/>
          <w:szCs w:val="20"/>
        </w:rPr>
        <w:t>3.6.Оценка Заявок и проведение переговоров</w:t>
      </w:r>
      <w:bookmarkEnd w:id="79"/>
      <w:bookmarkEnd w:id="80"/>
    </w:p>
    <w:p w:rsidR="00DE5D54" w:rsidRPr="006F2594" w:rsidRDefault="00DE5D54" w:rsidP="006F2594">
      <w:pPr>
        <w:pStyle w:val="30"/>
        <w:widowControl w:val="0"/>
        <w:spacing w:before="0"/>
        <w:rPr>
          <w:rFonts w:ascii="Arial" w:hAnsi="Arial" w:cs="Arial"/>
          <w:color w:val="auto"/>
          <w:sz w:val="20"/>
          <w:szCs w:val="20"/>
        </w:rPr>
      </w:pPr>
      <w:bookmarkStart w:id="81" w:name="_Toc343613550"/>
      <w:r w:rsidRPr="006F2594">
        <w:rPr>
          <w:rFonts w:ascii="Arial" w:hAnsi="Arial" w:cs="Arial"/>
          <w:color w:val="auto"/>
          <w:sz w:val="20"/>
          <w:szCs w:val="20"/>
        </w:rPr>
        <w:t>3.6.1. Общие положения</w:t>
      </w:r>
      <w:bookmarkEnd w:id="81"/>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2"/>
      <w:bookmarkEnd w:id="83"/>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 xml:space="preserve">няет </w:t>
      </w:r>
      <w:proofErr w:type="gramStart"/>
      <w:r w:rsidR="00A87C34" w:rsidRPr="006F2594">
        <w:rPr>
          <w:rFonts w:ascii="Arial" w:hAnsi="Arial" w:cs="Arial"/>
          <w:sz w:val="20"/>
          <w:szCs w:val="20"/>
        </w:rPr>
        <w:t>Заявки</w:t>
      </w:r>
      <w:proofErr w:type="gramEnd"/>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88"/>
      <w:bookmarkEnd w:id="89"/>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proofErr w:type="gramStart"/>
      <w:r w:rsidR="00B50031" w:rsidRPr="006F2594">
        <w:rPr>
          <w:rFonts w:ascii="Arial" w:hAnsi="Arial" w:cs="Arial"/>
          <w:sz w:val="20"/>
          <w:szCs w:val="20"/>
        </w:rPr>
        <w:t>не</w:t>
      </w:r>
      <w:proofErr w:type="gramEnd"/>
      <w:r w:rsidR="00B50031" w:rsidRPr="006F2594">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zakupki</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gov</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ru</w:t>
        </w:r>
        <w:proofErr w:type="spellEnd"/>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0" w:name="_Ref306138385"/>
      <w:bookmarkStart w:id="91" w:name="_Toc343613553"/>
      <w:r w:rsidRPr="006F2594">
        <w:rPr>
          <w:rFonts w:ascii="Arial" w:hAnsi="Arial" w:cs="Arial"/>
          <w:color w:val="auto"/>
          <w:sz w:val="20"/>
          <w:szCs w:val="20"/>
        </w:rPr>
        <w:t>Оценочная стадия</w:t>
      </w:r>
      <w:bookmarkEnd w:id="90"/>
      <w:bookmarkEnd w:id="91"/>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3.6.3.3</w:t>
      </w:r>
      <w:proofErr w:type="gramStart"/>
      <w:r w:rsidRPr="006F2594">
        <w:rPr>
          <w:rFonts w:ascii="Arial" w:hAnsi="Arial" w:cs="Arial"/>
          <w:sz w:val="20"/>
          <w:szCs w:val="20"/>
          <w:lang w:eastAsia="ru-RU"/>
        </w:rPr>
        <w:t xml:space="preserve"> </w:t>
      </w:r>
      <w:r w:rsidRPr="006F2594">
        <w:rPr>
          <w:rFonts w:ascii="Arial" w:hAnsi="Arial" w:cs="Arial"/>
          <w:sz w:val="20"/>
          <w:szCs w:val="20"/>
        </w:rPr>
        <w:t>В</w:t>
      </w:r>
      <w:proofErr w:type="gramEnd"/>
      <w:r w:rsidRPr="006F259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4"/>
      <w:bookmarkEnd w:id="85"/>
      <w:bookmarkEnd w:id="86"/>
    </w:p>
    <w:bookmarkEnd w:id="87"/>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2"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6F2594">
        <w:rPr>
          <w:rFonts w:ascii="Arial" w:hAnsi="Arial" w:cs="Arial"/>
          <w:color w:val="auto"/>
          <w:sz w:val="20"/>
          <w:szCs w:val="20"/>
        </w:rPr>
        <w:t>3.8. Подведение итогов Запроса цен</w:t>
      </w:r>
      <w:bookmarkEnd w:id="93"/>
      <w:bookmarkEnd w:id="94"/>
      <w:bookmarkEnd w:id="95"/>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6F2594">
        <w:rPr>
          <w:rFonts w:ascii="Arial" w:hAnsi="Arial" w:cs="Arial"/>
          <w:color w:val="auto"/>
          <w:sz w:val="20"/>
          <w:szCs w:val="20"/>
        </w:rPr>
        <w:t>3.9. Признание запроса цен несостоявшимся</w:t>
      </w:r>
      <w:bookmarkEnd w:id="96"/>
      <w:bookmarkEnd w:id="97"/>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99" w:name="_Ref303277595"/>
      <w:r w:rsidRPr="006F2594">
        <w:rPr>
          <w:rFonts w:ascii="Arial" w:hAnsi="Arial" w:cs="Arial"/>
          <w:sz w:val="20"/>
          <w:szCs w:val="20"/>
        </w:rPr>
        <w:t>3.9.1. Запрос цен признается несостоявшимся в случаях:</w:t>
      </w:r>
      <w:bookmarkEnd w:id="99"/>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0"/>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6F2594">
        <w:rPr>
          <w:rFonts w:ascii="Arial" w:hAnsi="Arial" w:cs="Arial"/>
          <w:sz w:val="20"/>
          <w:szCs w:val="20"/>
        </w:rPr>
        <w:t xml:space="preserve">3.9.2.В случае, если при проведении запроса цен: </w:t>
      </w:r>
      <w:bookmarkEnd w:id="101"/>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98"/>
      <w:bookmarkEnd w:id="102"/>
      <w:bookmarkEnd w:id="103"/>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3830B5">
        <w:rPr>
          <w:rFonts w:ascii="Arial" w:hAnsi="Arial" w:cs="Arial"/>
          <w:sz w:val="20"/>
          <w:szCs w:val="20"/>
        </w:rPr>
        <w:t xml:space="preserve">ей должен предоставить в адрес </w:t>
      </w:r>
      <w:r w:rsidRPr="006F2594">
        <w:rPr>
          <w:rFonts w:ascii="Arial" w:hAnsi="Arial" w:cs="Arial"/>
          <w:sz w:val="20"/>
          <w:szCs w:val="20"/>
        </w:rPr>
        <w:t xml:space="preserve">АО «Пензенская </w:t>
      </w:r>
      <w:proofErr w:type="spellStart"/>
      <w:r w:rsidRPr="006F2594">
        <w:rPr>
          <w:rFonts w:ascii="Arial" w:hAnsi="Arial" w:cs="Arial"/>
          <w:sz w:val="20"/>
          <w:szCs w:val="20"/>
        </w:rPr>
        <w:t>горэлектросеть</w:t>
      </w:r>
      <w:proofErr w:type="spellEnd"/>
      <w:r w:rsidRPr="006F2594">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08"/>
      <w:bookmarkEnd w:id="109"/>
      <w:r w:rsidRPr="006F2594">
        <w:rPr>
          <w:rFonts w:ascii="Arial" w:hAnsi="Arial" w:cs="Arial"/>
          <w:b/>
          <w:bCs/>
          <w:snapToGrid w:val="0"/>
          <w:sz w:val="20"/>
          <w:szCs w:val="20"/>
        </w:rPr>
        <w:t>запроса цен</w:t>
      </w:r>
      <w:bookmarkEnd w:id="110"/>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3"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3830B5">
        <w:rPr>
          <w:rFonts w:ascii="Arial" w:hAnsi="Arial" w:cs="Arial"/>
          <w:sz w:val="20"/>
          <w:szCs w:val="20"/>
        </w:rPr>
        <w:t xml:space="preserve">) и на официальном сайте </w:t>
      </w:r>
      <w:r w:rsidR="00682C74" w:rsidRPr="006F2594">
        <w:rPr>
          <w:rFonts w:ascii="Arial" w:hAnsi="Arial" w:cs="Arial"/>
          <w:sz w:val="20"/>
          <w:szCs w:val="20"/>
        </w:rPr>
        <w:t xml:space="preserve">АО «Пензенская </w:t>
      </w:r>
      <w:proofErr w:type="spellStart"/>
      <w:r w:rsidR="00682C74" w:rsidRPr="006F2594">
        <w:rPr>
          <w:rFonts w:ascii="Arial" w:hAnsi="Arial" w:cs="Arial"/>
          <w:sz w:val="20"/>
          <w:szCs w:val="20"/>
        </w:rPr>
        <w:t>горэлектросеть</w:t>
      </w:r>
      <w:proofErr w:type="spellEnd"/>
      <w:r w:rsidR="00682C74" w:rsidRPr="006F2594">
        <w:rPr>
          <w:rFonts w:ascii="Arial" w:hAnsi="Arial" w:cs="Arial"/>
          <w:sz w:val="20"/>
          <w:szCs w:val="20"/>
        </w:rPr>
        <w:t>»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 xml:space="preserve">АО «Пензенская </w:t>
      </w:r>
      <w:proofErr w:type="spellStart"/>
      <w:r w:rsidRPr="006F2594">
        <w:rPr>
          <w:rFonts w:ascii="Arial" w:hAnsi="Arial" w:cs="Arial"/>
          <w:b/>
          <w:sz w:val="20"/>
          <w:szCs w:val="20"/>
        </w:rPr>
        <w:t>горэлектросеть</w:t>
      </w:r>
      <w:proofErr w:type="spellEnd"/>
      <w:r w:rsidRPr="006F2594">
        <w:rPr>
          <w:rFonts w:ascii="Arial" w:hAnsi="Arial" w:cs="Arial"/>
          <w:b/>
          <w:sz w:val="20"/>
          <w:szCs w:val="20"/>
        </w:rPr>
        <w:t>»</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572A54" w:rsidRPr="00572A54" w:rsidRDefault="00572A54" w:rsidP="00572A54">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572A54" w:rsidRPr="00572A54" w:rsidRDefault="00572A54" w:rsidP="00572A54">
      <w:pPr>
        <w:tabs>
          <w:tab w:val="left" w:pos="0"/>
        </w:tabs>
        <w:rPr>
          <w:rFonts w:ascii="Arial" w:hAnsi="Arial" w:cs="Arial"/>
          <w:sz w:val="20"/>
          <w:szCs w:val="20"/>
        </w:rPr>
      </w:pP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3. </w:t>
      </w:r>
      <w:r w:rsidR="00425771">
        <w:rPr>
          <w:rFonts w:ascii="Arial" w:hAnsi="Arial" w:cs="Arial"/>
          <w:sz w:val="20"/>
          <w:szCs w:val="20"/>
        </w:rPr>
        <w:t>Начальник</w:t>
      </w:r>
      <w:r w:rsidRPr="00572A54">
        <w:rPr>
          <w:rFonts w:ascii="Arial" w:hAnsi="Arial" w:cs="Arial"/>
          <w:sz w:val="20"/>
          <w:szCs w:val="20"/>
        </w:rPr>
        <w:t xml:space="preserve"> управления</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                 </w:t>
      </w:r>
    </w:p>
    <w:p w:rsidR="00572A54" w:rsidRPr="00572A54" w:rsidRDefault="00572A54" w:rsidP="00572A54">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572A54" w:rsidRPr="00572A54" w:rsidRDefault="00572A54" w:rsidP="00572A54">
      <w:pPr>
        <w:rPr>
          <w:rFonts w:ascii="Arial" w:hAnsi="Arial" w:cs="Arial"/>
          <w:sz w:val="20"/>
          <w:szCs w:val="20"/>
        </w:rPr>
      </w:pPr>
      <w:r>
        <w:rPr>
          <w:rFonts w:ascii="Arial" w:hAnsi="Arial" w:cs="Arial"/>
          <w:sz w:val="20"/>
          <w:szCs w:val="20"/>
        </w:rPr>
        <w:t xml:space="preserve">   </w:t>
      </w:r>
    </w:p>
    <w:p w:rsidR="00572A54" w:rsidRPr="00572A54" w:rsidRDefault="00572A54" w:rsidP="00572A54">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Default="00572A54" w:rsidP="00572A54"/>
    <w:p w:rsidR="00690279" w:rsidRPr="00572A54" w:rsidRDefault="00690279"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1"/>
      <w:bookmarkEnd w:id="112"/>
      <w:r w:rsidRPr="006F2594">
        <w:rPr>
          <w:rFonts w:ascii="Arial" w:hAnsi="Arial" w:cs="Arial"/>
          <w:sz w:val="20"/>
          <w:szCs w:val="20"/>
        </w:rPr>
        <w:t>Заявку</w:t>
      </w:r>
      <w:bookmarkEnd w:id="113"/>
      <w:bookmarkEnd w:id="114"/>
      <w:bookmarkEnd w:id="115"/>
      <w:bookmarkEnd w:id="116"/>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690279">
        <w:rPr>
          <w:rFonts w:ascii="Arial" w:hAnsi="Arial" w:cs="Arial"/>
          <w:b/>
          <w:sz w:val="20"/>
          <w:szCs w:val="20"/>
        </w:rPr>
        <w:t>___</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690279">
        <w:rPr>
          <w:rFonts w:ascii="Arial" w:hAnsi="Arial" w:cs="Arial"/>
          <w:b/>
          <w:sz w:val="20"/>
          <w:szCs w:val="20"/>
        </w:rPr>
        <w:t>_______</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AA42C0" w:rsidP="006F2594">
            <w:pPr>
              <w:pStyle w:val="23"/>
              <w:spacing w:after="0" w:line="240" w:lineRule="auto"/>
              <w:ind w:left="0"/>
              <w:rPr>
                <w:rFonts w:ascii="Arial" w:hAnsi="Arial" w:cs="Arial"/>
                <w:sz w:val="20"/>
                <w:szCs w:val="20"/>
              </w:rPr>
            </w:pP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6F2594">
        <w:rPr>
          <w:rFonts w:ascii="Arial" w:hAnsi="Arial" w:cs="Arial"/>
          <w:sz w:val="20"/>
          <w:szCs w:val="20"/>
        </w:rPr>
        <w:t>выполнять роль</w:t>
      </w:r>
      <w:proofErr w:type="gramEnd"/>
      <w:r w:rsidRPr="006F2594">
        <w:rPr>
          <w:rFonts w:ascii="Arial" w:hAnsi="Arial" w:cs="Arial"/>
          <w:sz w:val="20"/>
          <w:szCs w:val="20"/>
        </w:rPr>
        <w:t xml:space="preserve">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Приложение №1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lastRenderedPageBreak/>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№2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B979F5" w:rsidP="006F2594">
      <w:pPr>
        <w:tabs>
          <w:tab w:val="num" w:pos="0"/>
        </w:tabs>
        <w:rPr>
          <w:rFonts w:ascii="Arial" w:hAnsi="Arial" w:cs="Arial"/>
          <w:sz w:val="20"/>
          <w:szCs w:val="20"/>
        </w:rPr>
      </w:pPr>
      <w:r w:rsidRPr="00B979F5">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B24C78" w:rsidRPr="002A0EDC" w:rsidRDefault="00B24C78"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4C78" w:rsidRPr="002A0EDC" w:rsidRDefault="00B24C78"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B24C78" w:rsidRDefault="00B24C78"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6F2594">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№3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B979F5" w:rsidP="006F2594">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B24C78" w:rsidRPr="002A0EDC" w:rsidRDefault="00B24C78"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B24C78" w:rsidRPr="002A0EDC" w:rsidRDefault="00B24C78"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B24C78" w:rsidRDefault="00B24C78"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6F2594">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№4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B979F5" w:rsidP="006F2594">
      <w:pPr>
        <w:rPr>
          <w:rFonts w:ascii="Arial" w:hAnsi="Arial" w:cs="Arial"/>
          <w:sz w:val="20"/>
          <w:szCs w:val="20"/>
        </w:rPr>
      </w:pPr>
      <w:r w:rsidRPr="00B979F5">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B24C78" w:rsidRPr="002A0EDC" w:rsidRDefault="00B24C78"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B24C78" w:rsidRPr="002A0EDC" w:rsidRDefault="00B24C7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B24C78" w:rsidRPr="00301BEC" w:rsidRDefault="00B24C78" w:rsidP="002A0EDC">
                  <w:pPr>
                    <w:rPr>
                      <w:rFonts w:ascii="Arial" w:hAnsi="Arial" w:cs="Arial"/>
                      <w:sz w:val="20"/>
                      <w:szCs w:val="20"/>
                    </w:rPr>
                  </w:pPr>
                </w:p>
                <w:p w:rsidR="00B24C78" w:rsidRDefault="00B24C78"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1" w:name="_Ref372726841"/>
      <w:bookmarkEnd w:id="121"/>
      <w:r w:rsidRPr="006F2594">
        <w:rPr>
          <w:rFonts w:ascii="Arial" w:hAnsi="Arial" w:cs="Arial"/>
          <w:b/>
          <w:bCs/>
          <w:sz w:val="20"/>
          <w:szCs w:val="20"/>
        </w:rPr>
        <w:t>Форма №7</w:t>
      </w:r>
    </w:p>
    <w:bookmarkEnd w:id="131"/>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Приложение №5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4"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2"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2"/>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3" w:name="sub_10103"/>
      <w:r w:rsidRPr="006F2594">
        <w:rPr>
          <w:rFonts w:ascii="Arial" w:eastAsia="Calibri" w:hAnsi="Arial" w:cs="Arial"/>
          <w:bCs/>
          <w:sz w:val="20"/>
          <w:szCs w:val="20"/>
          <w:lang w:eastAsia="en-US"/>
        </w:rPr>
        <w:t>2. ИНН/КПП: _________________________________________________________________.</w:t>
      </w:r>
    </w:p>
    <w:bookmarkEnd w:id="133"/>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4"/>
      <w:r w:rsidRPr="006F2594">
        <w:rPr>
          <w:rFonts w:ascii="Arial" w:eastAsia="Calibri" w:hAnsi="Arial" w:cs="Arial"/>
          <w:bCs/>
          <w:sz w:val="20"/>
          <w:szCs w:val="20"/>
          <w:lang w:eastAsia="en-US"/>
        </w:rPr>
        <w:t>3. ОГРН: _____________________________________________________________________.</w:t>
      </w:r>
    </w:p>
    <w:bookmarkEnd w:id="134"/>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5" w:name="sub_10107"/>
            <w:r w:rsidRPr="006F2594">
              <w:rPr>
                <w:rFonts w:ascii="Arial" w:eastAsia="Calibri" w:hAnsi="Arial" w:cs="Arial"/>
                <w:bCs/>
                <w:sz w:val="20"/>
                <w:szCs w:val="20"/>
                <w:lang w:eastAsia="en-US"/>
              </w:rPr>
              <w:t>N</w:t>
            </w:r>
            <w:bookmarkEnd w:id="135"/>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6" w:name="sub_10108"/>
            <w:r w:rsidRPr="006F2594">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9"/>
            <w:r w:rsidRPr="006F2594">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10"/>
            <w:r w:rsidRPr="006F2594">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11"/>
            <w:r w:rsidRPr="006F2594">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0" w:name="sub_10113"/>
            <w:r w:rsidRPr="006F2594">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w:t>
            </w:r>
            <w:proofErr w:type="gramStart"/>
            <w:r w:rsidRPr="006F2594">
              <w:rPr>
                <w:rFonts w:ascii="Arial" w:eastAsia="Calibri" w:hAnsi="Arial" w:cs="Arial"/>
                <w:bCs/>
                <w:sz w:val="20"/>
                <w:szCs w:val="20"/>
                <w:lang w:eastAsia="en-US"/>
              </w:rPr>
              <w:t>д-</w:t>
            </w:r>
            <w:proofErr w:type="gramEnd"/>
            <w:r w:rsidRPr="006F259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18"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0"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4"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1"/>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2" w:name="sub_10123"/>
      <w:r w:rsidRPr="00657357">
        <w:rPr>
          <w:rFonts w:ascii="Arial" w:eastAsia="Calibri" w:hAnsi="Arial" w:cs="Arial"/>
          <w:bCs/>
          <w:sz w:val="16"/>
          <w:szCs w:val="16"/>
          <w:lang w:eastAsia="en-US"/>
        </w:rPr>
        <w:t>______________________________________________________________________</w:t>
      </w:r>
    </w:p>
    <w:bookmarkEnd w:id="142"/>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3"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25"/>
      <w:bookmarkEnd w:id="143"/>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5" w:name="_Toc90385119"/>
      <w:bookmarkStart w:id="146"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5"/>
    <w:bookmarkEnd w:id="146"/>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B979F5" w:rsidP="006F2594">
      <w:pPr>
        <w:jc w:val="center"/>
        <w:rPr>
          <w:rFonts w:ascii="Arial" w:hAnsi="Arial" w:cs="Arial"/>
          <w:b/>
          <w:bCs/>
          <w:sz w:val="20"/>
          <w:szCs w:val="20"/>
        </w:rPr>
      </w:pPr>
      <w:r w:rsidRPr="00B979F5">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B24C78" w:rsidRPr="003F7D6C" w:rsidRDefault="00B24C78"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B24C78" w:rsidRPr="003F7D6C" w:rsidRDefault="00B24C7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24C78" w:rsidRPr="003F7D6C" w:rsidRDefault="00B24C7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24C78" w:rsidRPr="003F7D6C" w:rsidRDefault="00B24C7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24C78" w:rsidRPr="003F7D6C" w:rsidRDefault="00B24C7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24C78" w:rsidRPr="003F7D6C" w:rsidRDefault="00B24C7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24C78" w:rsidRPr="003F7D6C" w:rsidRDefault="00B24C7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24C78" w:rsidRPr="003F7D6C" w:rsidRDefault="00B24C7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24C78" w:rsidRPr="003F7D6C" w:rsidRDefault="00B24C7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24C78" w:rsidRDefault="00B24C78"/>
                <w:p w:rsidR="00B24C78" w:rsidRDefault="00B24C78"/>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A54CA">
        <w:rPr>
          <w:rFonts w:ascii="Arial" w:hAnsi="Arial" w:cs="Arial"/>
          <w:sz w:val="20"/>
          <w:szCs w:val="20"/>
        </w:rPr>
        <w:t>23</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proofErr w:type="gramStart"/>
      <w:r w:rsidRPr="006F2594">
        <w:rPr>
          <w:rFonts w:ascii="Arial" w:hAnsi="Arial" w:cs="Arial"/>
          <w:b/>
          <w:sz w:val="20"/>
          <w:szCs w:val="20"/>
        </w:rPr>
        <w:t>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3830B5">
        <w:rPr>
          <w:rFonts w:ascii="Arial" w:hAnsi="Arial" w:cs="Arial"/>
          <w:sz w:val="20"/>
          <w:szCs w:val="20"/>
        </w:rPr>
        <w:t>4</w:t>
      </w:r>
      <w:r w:rsidR="00CF44A3">
        <w:rPr>
          <w:rFonts w:ascii="Arial" w:hAnsi="Arial" w:cs="Arial"/>
          <w:sz w:val="20"/>
          <w:szCs w:val="20"/>
        </w:rPr>
        <w:t>9</w:t>
      </w:r>
      <w:r w:rsidR="00C0464C">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690279">
        <w:rPr>
          <w:rFonts w:ascii="Arial" w:hAnsi="Arial" w:cs="Arial"/>
          <w:sz w:val="20"/>
          <w:szCs w:val="20"/>
        </w:rPr>
        <w:t>01</w:t>
      </w:r>
      <w:r w:rsidR="00E1380C">
        <w:rPr>
          <w:rFonts w:ascii="Arial" w:hAnsi="Arial" w:cs="Arial"/>
          <w:sz w:val="20"/>
          <w:szCs w:val="20"/>
        </w:rPr>
        <w:t>.0</w:t>
      </w:r>
      <w:r w:rsidR="00690279">
        <w:rPr>
          <w:rFonts w:ascii="Arial" w:hAnsi="Arial" w:cs="Arial"/>
          <w:sz w:val="20"/>
          <w:szCs w:val="20"/>
        </w:rPr>
        <w:t>3</w:t>
      </w:r>
      <w:r w:rsidR="006C201A" w:rsidRPr="006F2594">
        <w:rPr>
          <w:rFonts w:ascii="Arial" w:hAnsi="Arial" w:cs="Arial"/>
          <w:sz w:val="20"/>
          <w:szCs w:val="20"/>
        </w:rPr>
        <w:t>.2</w:t>
      </w:r>
      <w:r w:rsidR="00087CD3">
        <w:rPr>
          <w:rFonts w:ascii="Arial" w:hAnsi="Arial" w:cs="Arial"/>
          <w:sz w:val="20"/>
          <w:szCs w:val="20"/>
        </w:rPr>
        <w:t>02</w:t>
      </w:r>
      <w:r w:rsidR="00E1380C">
        <w:rPr>
          <w:rFonts w:ascii="Arial" w:hAnsi="Arial" w:cs="Arial"/>
          <w:sz w:val="20"/>
          <w:szCs w:val="20"/>
        </w:rPr>
        <w:t>3</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roofErr w:type="gramEnd"/>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64269E"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3.1.1. </w:t>
      </w:r>
      <w:r w:rsidR="00F52CB7" w:rsidRPr="0064269E">
        <w:rPr>
          <w:rFonts w:ascii="Arial" w:hAnsi="Arial" w:cs="Arial"/>
          <w:sz w:val="20"/>
          <w:szCs w:val="20"/>
        </w:rPr>
        <w:t>Предоставить товар ПОКУПА</w:t>
      </w:r>
      <w:r w:rsidR="00657357" w:rsidRPr="0064269E">
        <w:rPr>
          <w:rFonts w:ascii="Arial" w:hAnsi="Arial" w:cs="Arial"/>
          <w:sz w:val="20"/>
          <w:szCs w:val="20"/>
        </w:rPr>
        <w:t>ТЕЛЮ</w:t>
      </w:r>
      <w:r w:rsidR="003830B5">
        <w:rPr>
          <w:rFonts w:ascii="Arial" w:hAnsi="Arial" w:cs="Arial"/>
          <w:sz w:val="20"/>
          <w:szCs w:val="20"/>
        </w:rPr>
        <w:t xml:space="preserve"> </w:t>
      </w:r>
      <w:r w:rsidR="003830B5" w:rsidRPr="003830B5">
        <w:rPr>
          <w:rFonts w:ascii="Arial" w:hAnsi="Arial" w:cs="Arial"/>
          <w:sz w:val="20"/>
          <w:szCs w:val="20"/>
        </w:rPr>
        <w:t>в</w:t>
      </w:r>
      <w:r w:rsidR="00690279" w:rsidRPr="00690279">
        <w:rPr>
          <w:rFonts w:ascii="Arial" w:hAnsi="Arial" w:cs="Arial"/>
          <w:sz w:val="20"/>
          <w:szCs w:val="20"/>
        </w:rPr>
        <w:t xml:space="preserve"> </w:t>
      </w:r>
      <w:r w:rsidR="00690279" w:rsidRPr="00D927FB">
        <w:rPr>
          <w:rFonts w:ascii="Arial" w:hAnsi="Arial" w:cs="Arial"/>
          <w:sz w:val="20"/>
          <w:szCs w:val="20"/>
        </w:rPr>
        <w:t xml:space="preserve"> течение </w:t>
      </w:r>
      <w:r w:rsidR="00690279">
        <w:rPr>
          <w:rFonts w:ascii="Arial" w:hAnsi="Arial" w:cs="Arial"/>
          <w:sz w:val="20"/>
          <w:szCs w:val="20"/>
        </w:rPr>
        <w:t>10 календарных дней с момента заключения договора.</w:t>
      </w:r>
    </w:p>
    <w:p w:rsidR="009C61FA"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lastRenderedPageBreak/>
        <w:t xml:space="preserve">    4.3. </w:t>
      </w:r>
      <w:proofErr w:type="gramStart"/>
      <w:r w:rsidRPr="006F2594">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6F2594">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 xml:space="preserve">АО «Пензенская </w:t>
            </w:r>
            <w:proofErr w:type="spellStart"/>
            <w:r w:rsidRPr="006F2594">
              <w:rPr>
                <w:rFonts w:ascii="Arial" w:hAnsi="Arial" w:cs="Arial"/>
                <w:b/>
                <w:bCs/>
                <w:sz w:val="20"/>
                <w:szCs w:val="20"/>
              </w:rPr>
              <w:t>горэлектросеть</w:t>
            </w:r>
            <w:proofErr w:type="spellEnd"/>
            <w:r w:rsidRPr="006F2594">
              <w:rPr>
                <w:rFonts w:ascii="Arial" w:hAnsi="Arial" w:cs="Arial"/>
                <w:b/>
                <w:bCs/>
                <w:sz w:val="20"/>
                <w:szCs w:val="20"/>
              </w:rPr>
              <w:t>»</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proofErr w:type="gramStart"/>
            <w:r w:rsidRPr="006F2594">
              <w:rPr>
                <w:rFonts w:ascii="Arial" w:hAnsi="Arial" w:cs="Arial"/>
                <w:sz w:val="20"/>
                <w:szCs w:val="20"/>
              </w:rPr>
              <w:t>р</w:t>
            </w:r>
            <w:proofErr w:type="gramEnd"/>
            <w:r w:rsidRPr="006F2594">
              <w:rPr>
                <w:rFonts w:ascii="Arial" w:hAnsi="Arial" w:cs="Arial"/>
                <w:sz w:val="20"/>
                <w:szCs w:val="20"/>
              </w:rPr>
              <w:t>/с №  40702810748000016558</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3830B5">
              <w:rPr>
                <w:rFonts w:ascii="Arial" w:hAnsi="Arial" w:cs="Arial"/>
                <w:sz w:val="20"/>
                <w:szCs w:val="20"/>
              </w:rPr>
              <w:t xml:space="preserve"> </w:t>
            </w:r>
            <w:proofErr w:type="spellStart"/>
            <w:r w:rsidRPr="00C0464C">
              <w:rPr>
                <w:rFonts w:ascii="Arial" w:hAnsi="Arial" w:cs="Arial"/>
                <w:sz w:val="20"/>
                <w:szCs w:val="20"/>
                <w:lang w:val="en-US"/>
              </w:rPr>
              <w:t>chagorova</w:t>
            </w:r>
            <w:proofErr w:type="spellEnd"/>
            <w:r w:rsidRPr="003830B5">
              <w:rPr>
                <w:rFonts w:ascii="Arial" w:hAnsi="Arial" w:cs="Arial"/>
                <w:sz w:val="20"/>
                <w:szCs w:val="20"/>
              </w:rPr>
              <w:t>@</w:t>
            </w:r>
            <w:proofErr w:type="spellStart"/>
            <w:r w:rsidRPr="00C0464C">
              <w:rPr>
                <w:rFonts w:ascii="Arial" w:hAnsi="Arial" w:cs="Arial"/>
                <w:sz w:val="20"/>
                <w:szCs w:val="20"/>
                <w:lang w:val="en-US"/>
              </w:rPr>
              <w:t>pges</w:t>
            </w:r>
            <w:proofErr w:type="spellEnd"/>
            <w:r w:rsidRPr="003830B5">
              <w:rPr>
                <w:rFonts w:ascii="Arial" w:hAnsi="Arial" w:cs="Arial"/>
                <w:sz w:val="20"/>
                <w:szCs w:val="20"/>
              </w:rPr>
              <w:t>.</w:t>
            </w:r>
            <w:proofErr w:type="spellStart"/>
            <w:r w:rsidRPr="00C0464C">
              <w:rPr>
                <w:rFonts w:ascii="Arial" w:hAnsi="Arial" w:cs="Arial"/>
                <w:sz w:val="20"/>
                <w:szCs w:val="20"/>
                <w:lang w:val="en-US"/>
              </w:rPr>
              <w:t>su</w:t>
            </w:r>
            <w:proofErr w:type="spellEnd"/>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3830B5">
              <w:rPr>
                <w:rFonts w:ascii="Arial" w:hAnsi="Arial" w:cs="Arial"/>
                <w:sz w:val="20"/>
                <w:szCs w:val="20"/>
              </w:rPr>
              <w:t>(8412) 55-04-13</w:t>
            </w:r>
          </w:p>
          <w:p w:rsidR="00C0464C" w:rsidRPr="003830B5"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3830B5"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Pr="006F2594" w:rsidRDefault="00E16CC3"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lastRenderedPageBreak/>
        <w:t>Приложение №1</w:t>
      </w:r>
    </w:p>
    <w:p w:rsidR="009C61FA" w:rsidRPr="006F2594" w:rsidRDefault="009C61FA" w:rsidP="006F2594">
      <w:pPr>
        <w:pStyle w:val="aff1"/>
        <w:jc w:val="right"/>
        <w:rPr>
          <w:rFonts w:ascii="Arial" w:hAnsi="Arial" w:cs="Arial"/>
          <w:b/>
          <w:sz w:val="20"/>
        </w:rPr>
      </w:pPr>
    </w:p>
    <w:p w:rsidR="009C61FA" w:rsidRPr="006F2594" w:rsidRDefault="002A54CA" w:rsidP="006F2594">
      <w:pPr>
        <w:pStyle w:val="aff1"/>
        <w:jc w:val="right"/>
        <w:rPr>
          <w:rFonts w:ascii="Arial" w:hAnsi="Arial" w:cs="Arial"/>
          <w:b/>
          <w:sz w:val="20"/>
        </w:rPr>
      </w:pPr>
      <w:r>
        <w:rPr>
          <w:rFonts w:ascii="Arial" w:hAnsi="Arial" w:cs="Arial"/>
          <w:b/>
          <w:sz w:val="20"/>
        </w:rPr>
        <w:t xml:space="preserve"> к договору №Юр-2023/_____</w:t>
      </w:r>
      <w:r w:rsidR="009C61FA" w:rsidRPr="006F2594">
        <w:rPr>
          <w:rFonts w:ascii="Arial" w:hAnsi="Arial" w:cs="Arial"/>
          <w:b/>
          <w:sz w:val="20"/>
        </w:rPr>
        <w:t>о</w:t>
      </w:r>
      <w:r w:rsidR="004D06EB" w:rsidRPr="006F2594">
        <w:rPr>
          <w:rFonts w:ascii="Arial" w:hAnsi="Arial" w:cs="Arial"/>
          <w:b/>
          <w:sz w:val="20"/>
        </w:rPr>
        <w:t>т</w:t>
      </w:r>
      <w:r>
        <w:rPr>
          <w:rFonts w:ascii="Arial" w:hAnsi="Arial" w:cs="Arial"/>
          <w:b/>
          <w:sz w:val="20"/>
        </w:rPr>
        <w:t xml:space="preserve"> «        »_________________2023</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6F2594" w:rsidTr="009C61FA">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Цена за ед</w:t>
            </w:r>
            <w:r w:rsidR="00A40E13" w:rsidRPr="006F2594">
              <w:rPr>
                <w:b/>
                <w:iCs/>
                <w:sz w:val="20"/>
                <w:szCs w:val="20"/>
              </w:rPr>
              <w:t>иницу, руб., в том числе НДС (20</w:t>
            </w:r>
            <w:r w:rsidRPr="006F2594">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Общая цена, руб., в том числе</w:t>
            </w:r>
          </w:p>
          <w:p w:rsidR="009C61FA" w:rsidRPr="006F2594" w:rsidRDefault="00A40E13" w:rsidP="006F2594">
            <w:pPr>
              <w:pStyle w:val="ConsPlusCell"/>
              <w:widowControl/>
              <w:jc w:val="center"/>
              <w:rPr>
                <w:b/>
                <w:iCs/>
                <w:sz w:val="20"/>
                <w:szCs w:val="20"/>
              </w:rPr>
            </w:pPr>
            <w:r w:rsidRPr="006F2594">
              <w:rPr>
                <w:b/>
                <w:iCs/>
                <w:sz w:val="20"/>
                <w:szCs w:val="20"/>
              </w:rPr>
              <w:t>НДС (20</w:t>
            </w:r>
            <w:r w:rsidR="009C61FA" w:rsidRPr="006F2594">
              <w:rPr>
                <w:b/>
                <w:iCs/>
                <w:sz w:val="20"/>
                <w:szCs w:val="20"/>
              </w:rPr>
              <w:t xml:space="preserve"> %)</w:t>
            </w: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center"/>
              <w:rPr>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690279" w:rsidRPr="00D927FB">
        <w:rPr>
          <w:rFonts w:ascii="Arial" w:hAnsi="Arial" w:cs="Arial"/>
          <w:sz w:val="20"/>
        </w:rPr>
        <w:t xml:space="preserve">в течение </w:t>
      </w:r>
      <w:r w:rsidR="00690279">
        <w:rPr>
          <w:rFonts w:ascii="Arial" w:hAnsi="Arial" w:cs="Arial"/>
          <w:sz w:val="20"/>
        </w:rPr>
        <w:t>10 календарных дней с момента заключения договора.</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lastRenderedPageBreak/>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Default="00C72791" w:rsidP="00C72791">
      <w:pPr>
        <w:pStyle w:val="aff1"/>
        <w:rPr>
          <w:rFonts w:ascii="Arial" w:hAnsi="Arial" w:cs="Arial"/>
          <w:b/>
          <w:sz w:val="20"/>
        </w:rPr>
      </w:pPr>
      <w:r w:rsidRPr="006F2594">
        <w:rPr>
          <w:rFonts w:ascii="Arial" w:hAnsi="Arial" w:cs="Arial"/>
          <w:b/>
          <w:sz w:val="20"/>
        </w:rPr>
        <w:t>Техническое задание</w:t>
      </w:r>
    </w:p>
    <w:p w:rsidR="00C72791" w:rsidRDefault="00C72791" w:rsidP="00C72791">
      <w:pPr>
        <w:pStyle w:val="aff1"/>
        <w:rPr>
          <w:rFonts w:ascii="Arial" w:hAnsi="Arial" w:cs="Arial"/>
          <w:b/>
          <w:sz w:val="20"/>
        </w:rPr>
      </w:pPr>
    </w:p>
    <w:p w:rsidR="00CF44A3" w:rsidRPr="00CF44A3" w:rsidRDefault="00CF44A3"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 xml:space="preserve">1. </w:t>
      </w:r>
      <w:r w:rsidRPr="00CF44A3">
        <w:rPr>
          <w:rFonts w:ascii="Arial" w:hAnsi="Arial" w:cs="Arial"/>
          <w:b w:val="0"/>
          <w:sz w:val="20"/>
          <w:szCs w:val="20"/>
        </w:rPr>
        <w:t>Назначение и область применения.</w:t>
      </w:r>
    </w:p>
    <w:p w:rsidR="00CF44A3" w:rsidRPr="00CF44A3" w:rsidRDefault="00425771"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Б</w:t>
      </w:r>
      <w:r w:rsidR="00CF44A3" w:rsidRPr="00CF44A3">
        <w:rPr>
          <w:rFonts w:ascii="Arial" w:hAnsi="Arial" w:cs="Arial"/>
          <w:b w:val="0"/>
          <w:sz w:val="20"/>
          <w:szCs w:val="20"/>
        </w:rPr>
        <w:t>азовый полимер-бентонит средней вязкости, при бурении в 90% случаях эффективен без применения полимеров, применение полимеров рекомендуется в сложных</w:t>
      </w:r>
      <w:r>
        <w:rPr>
          <w:rFonts w:ascii="Arial" w:hAnsi="Arial" w:cs="Arial"/>
          <w:b w:val="0"/>
          <w:sz w:val="20"/>
          <w:szCs w:val="20"/>
        </w:rPr>
        <w:t xml:space="preserve"> </w:t>
      </w:r>
      <w:r w:rsidR="00CF44A3" w:rsidRPr="00CF44A3">
        <w:rPr>
          <w:rFonts w:ascii="Arial" w:hAnsi="Arial" w:cs="Arial"/>
          <w:b w:val="0"/>
          <w:sz w:val="20"/>
          <w:szCs w:val="20"/>
        </w:rPr>
        <w:t xml:space="preserve">грунтах, таких как активные, реактивные сланцы, </w:t>
      </w:r>
      <w:proofErr w:type="spellStart"/>
      <w:r w:rsidR="00CF44A3" w:rsidRPr="00CF44A3">
        <w:rPr>
          <w:rFonts w:ascii="Arial" w:hAnsi="Arial" w:cs="Arial"/>
          <w:b w:val="0"/>
          <w:sz w:val="20"/>
          <w:szCs w:val="20"/>
        </w:rPr>
        <w:t>водонасыщенные</w:t>
      </w:r>
      <w:proofErr w:type="spellEnd"/>
      <w:r w:rsidR="00CF44A3" w:rsidRPr="00CF44A3">
        <w:rPr>
          <w:rFonts w:ascii="Arial" w:hAnsi="Arial" w:cs="Arial"/>
          <w:b w:val="0"/>
          <w:sz w:val="20"/>
          <w:szCs w:val="20"/>
        </w:rPr>
        <w:t xml:space="preserve"> грунты с </w:t>
      </w:r>
      <w:proofErr w:type="gramStart"/>
      <w:r w:rsidR="00CF44A3" w:rsidRPr="00CF44A3">
        <w:rPr>
          <w:rFonts w:ascii="Arial" w:hAnsi="Arial" w:cs="Arial"/>
          <w:b w:val="0"/>
          <w:sz w:val="20"/>
          <w:szCs w:val="20"/>
        </w:rPr>
        <w:t>высоким</w:t>
      </w:r>
      <w:proofErr w:type="gramEnd"/>
      <w:r w:rsidR="00CF44A3" w:rsidRPr="00CF44A3">
        <w:rPr>
          <w:rFonts w:ascii="Arial" w:hAnsi="Arial" w:cs="Arial"/>
          <w:b w:val="0"/>
          <w:sz w:val="20"/>
          <w:szCs w:val="20"/>
        </w:rPr>
        <w:t xml:space="preserve"> </w:t>
      </w:r>
      <w:proofErr w:type="spellStart"/>
      <w:r w:rsidR="00CF44A3" w:rsidRPr="00CF44A3">
        <w:rPr>
          <w:rFonts w:ascii="Arial" w:hAnsi="Arial" w:cs="Arial"/>
          <w:b w:val="0"/>
          <w:sz w:val="20"/>
          <w:szCs w:val="20"/>
        </w:rPr>
        <w:t>водопритоком</w:t>
      </w:r>
      <w:proofErr w:type="spellEnd"/>
      <w:r w:rsidR="00CF44A3" w:rsidRPr="00CF44A3">
        <w:rPr>
          <w:rFonts w:ascii="Arial" w:hAnsi="Arial" w:cs="Arial"/>
          <w:b w:val="0"/>
          <w:sz w:val="20"/>
          <w:szCs w:val="20"/>
        </w:rPr>
        <w:t>, галечник и пр..</w:t>
      </w:r>
    </w:p>
    <w:p w:rsidR="00CF44A3" w:rsidRPr="00CF44A3" w:rsidRDefault="00CF44A3" w:rsidP="00CF44A3">
      <w:pPr>
        <w:pStyle w:val="2"/>
        <w:numPr>
          <w:ilvl w:val="0"/>
          <w:numId w:val="0"/>
        </w:numPr>
        <w:spacing w:before="0"/>
        <w:jc w:val="both"/>
        <w:rPr>
          <w:rFonts w:ascii="Arial" w:hAnsi="Arial" w:cs="Arial"/>
          <w:b w:val="0"/>
          <w:sz w:val="20"/>
          <w:szCs w:val="20"/>
        </w:rPr>
      </w:pPr>
      <w:r w:rsidRPr="00CF44A3">
        <w:rPr>
          <w:rFonts w:ascii="Arial" w:hAnsi="Arial" w:cs="Arial"/>
          <w:b w:val="0"/>
          <w:sz w:val="20"/>
          <w:szCs w:val="20"/>
        </w:rPr>
        <w:t xml:space="preserve">В составе </w:t>
      </w:r>
      <w:proofErr w:type="spellStart"/>
      <w:r w:rsidRPr="00CF44A3">
        <w:rPr>
          <w:rFonts w:ascii="Arial" w:hAnsi="Arial" w:cs="Arial"/>
          <w:b w:val="0"/>
          <w:sz w:val="20"/>
          <w:szCs w:val="20"/>
        </w:rPr>
        <w:t>глинопорошка</w:t>
      </w:r>
      <w:proofErr w:type="spellEnd"/>
      <w:r w:rsidRPr="00CF44A3">
        <w:rPr>
          <w:rFonts w:ascii="Arial" w:hAnsi="Arial" w:cs="Arial"/>
          <w:b w:val="0"/>
          <w:sz w:val="20"/>
          <w:szCs w:val="20"/>
        </w:rPr>
        <w:t xml:space="preserve"> присутствуют в достаточном количестве полимеры для ингибирования глины, снижения фильтрации и повышения прочности геля, что обеспечивает стабильную работу</w:t>
      </w:r>
    </w:p>
    <w:p w:rsidR="00CF44A3" w:rsidRDefault="00CF44A3" w:rsidP="00CF44A3">
      <w:pPr>
        <w:pStyle w:val="2"/>
        <w:numPr>
          <w:ilvl w:val="0"/>
          <w:numId w:val="0"/>
        </w:numPr>
        <w:spacing w:before="0"/>
        <w:jc w:val="both"/>
        <w:rPr>
          <w:rFonts w:ascii="Arial" w:hAnsi="Arial" w:cs="Arial"/>
          <w:b w:val="0"/>
          <w:sz w:val="20"/>
          <w:szCs w:val="20"/>
        </w:rPr>
      </w:pPr>
      <w:r w:rsidRPr="00CF44A3">
        <w:rPr>
          <w:rFonts w:ascii="Arial" w:hAnsi="Arial" w:cs="Arial"/>
          <w:b w:val="0"/>
          <w:sz w:val="20"/>
          <w:szCs w:val="20"/>
        </w:rPr>
        <w:t xml:space="preserve">в 90% случаев без дополнительного применения полимеров. </w:t>
      </w:r>
      <w:proofErr w:type="gramStart"/>
      <w:r w:rsidRPr="00CF44A3">
        <w:rPr>
          <w:rFonts w:ascii="Arial" w:hAnsi="Arial" w:cs="Arial"/>
          <w:b w:val="0"/>
          <w:sz w:val="20"/>
          <w:szCs w:val="20"/>
        </w:rPr>
        <w:t>Стабилен</w:t>
      </w:r>
      <w:proofErr w:type="gramEnd"/>
      <w:r w:rsidRPr="00CF44A3">
        <w:rPr>
          <w:rFonts w:ascii="Arial" w:hAnsi="Arial" w:cs="Arial"/>
          <w:b w:val="0"/>
          <w:sz w:val="20"/>
          <w:szCs w:val="20"/>
        </w:rPr>
        <w:t xml:space="preserve"> при различных температурах окружающей среды. Буровой раствор легко прокачивается, прекрасно перемешивается с разработанным грунтом, обеспечивает стабильность и текучесть бурового шлама в течение нескольких суток.</w:t>
      </w:r>
    </w:p>
    <w:p w:rsidR="00B24C78" w:rsidRDefault="00B24C78" w:rsidP="00CF44A3">
      <w:pPr>
        <w:pStyle w:val="2"/>
        <w:numPr>
          <w:ilvl w:val="0"/>
          <w:numId w:val="0"/>
        </w:numPr>
        <w:spacing w:before="0"/>
        <w:jc w:val="both"/>
        <w:rPr>
          <w:rFonts w:ascii="Arial" w:hAnsi="Arial" w:cs="Arial"/>
          <w:b w:val="0"/>
          <w:sz w:val="20"/>
          <w:szCs w:val="20"/>
        </w:rPr>
      </w:pPr>
    </w:p>
    <w:tbl>
      <w:tblPr>
        <w:tblStyle w:val="a9"/>
        <w:tblW w:w="0" w:type="auto"/>
        <w:tblLook w:val="04A0"/>
      </w:tblPr>
      <w:tblGrid>
        <w:gridCol w:w="5341"/>
        <w:gridCol w:w="5341"/>
      </w:tblGrid>
      <w:tr w:rsidR="00B24C78" w:rsidTr="00B24C78">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Наименование показателей</w:t>
            </w:r>
          </w:p>
        </w:tc>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Качественные показатели</w:t>
            </w:r>
          </w:p>
        </w:tc>
      </w:tr>
      <w:tr w:rsidR="00B24C78" w:rsidTr="00B24C78">
        <w:tc>
          <w:tcPr>
            <w:tcW w:w="5341" w:type="dxa"/>
          </w:tcPr>
          <w:p w:rsidR="00B24C78" w:rsidRP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 xml:space="preserve">Массовая доля влаги </w:t>
            </w:r>
            <w:r>
              <w:rPr>
                <w:rFonts w:ascii="Arial" w:hAnsi="Arial" w:cs="Arial"/>
                <w:b w:val="0"/>
                <w:sz w:val="20"/>
                <w:szCs w:val="20"/>
                <w:lang w:val="en-US"/>
              </w:rPr>
              <w:t>%</w:t>
            </w:r>
          </w:p>
        </w:tc>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11,4÷12</w:t>
            </w:r>
          </w:p>
        </w:tc>
      </w:tr>
      <w:tr w:rsidR="00B24C78" w:rsidTr="00B24C78">
        <w:tc>
          <w:tcPr>
            <w:tcW w:w="5341" w:type="dxa"/>
          </w:tcPr>
          <w:p w:rsidR="00B24C78" w:rsidRP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 xml:space="preserve">Показатель </w:t>
            </w:r>
            <w:proofErr w:type="spellStart"/>
            <w:r>
              <w:rPr>
                <w:rFonts w:ascii="Arial" w:hAnsi="Arial" w:cs="Arial"/>
                <w:b w:val="0"/>
                <w:sz w:val="20"/>
                <w:szCs w:val="20"/>
              </w:rPr>
              <w:t>Вискозимера</w:t>
            </w:r>
            <w:proofErr w:type="spellEnd"/>
            <w:r>
              <w:rPr>
                <w:rFonts w:ascii="Arial" w:hAnsi="Arial" w:cs="Arial"/>
                <w:b w:val="0"/>
                <w:sz w:val="20"/>
                <w:szCs w:val="20"/>
              </w:rPr>
              <w:t xml:space="preserve"> </w:t>
            </w:r>
            <w:proofErr w:type="spellStart"/>
            <w:r>
              <w:rPr>
                <w:rFonts w:ascii="Arial" w:hAnsi="Arial" w:cs="Arial"/>
                <w:b w:val="0"/>
                <w:sz w:val="20"/>
                <w:szCs w:val="20"/>
                <w:lang w:val="en-US"/>
              </w:rPr>
              <w:t>Fann</w:t>
            </w:r>
            <w:proofErr w:type="spellEnd"/>
            <w:r>
              <w:rPr>
                <w:rFonts w:ascii="Arial" w:hAnsi="Arial" w:cs="Arial"/>
                <w:b w:val="0"/>
                <w:sz w:val="20"/>
                <w:szCs w:val="20"/>
              </w:rPr>
              <w:t xml:space="preserve"> (при 600 </w:t>
            </w:r>
            <w:proofErr w:type="gramStart"/>
            <w:r>
              <w:rPr>
                <w:rFonts w:ascii="Arial" w:hAnsi="Arial" w:cs="Arial"/>
                <w:b w:val="0"/>
                <w:sz w:val="20"/>
                <w:szCs w:val="20"/>
              </w:rPr>
              <w:t>об</w:t>
            </w:r>
            <w:proofErr w:type="gramEnd"/>
            <w:r>
              <w:rPr>
                <w:rFonts w:ascii="Arial" w:hAnsi="Arial" w:cs="Arial"/>
                <w:b w:val="0"/>
                <w:sz w:val="20"/>
                <w:szCs w:val="20"/>
              </w:rPr>
              <w:t>)</w:t>
            </w:r>
          </w:p>
        </w:tc>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52÷57</w:t>
            </w:r>
          </w:p>
        </w:tc>
      </w:tr>
      <w:tr w:rsidR="00B24C78" w:rsidTr="00B24C78">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Водоотдача, см3</w:t>
            </w:r>
          </w:p>
        </w:tc>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12</w:t>
            </w:r>
          </w:p>
        </w:tc>
      </w:tr>
      <w:tr w:rsidR="00B24C78" w:rsidTr="00B24C78">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Содержание песка, %</w:t>
            </w:r>
          </w:p>
        </w:tc>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0,23÷0,26</w:t>
            </w:r>
          </w:p>
        </w:tc>
      </w:tr>
      <w:tr w:rsidR="00B24C78" w:rsidTr="00B24C78">
        <w:tc>
          <w:tcPr>
            <w:tcW w:w="5341" w:type="dxa"/>
          </w:tcPr>
          <w:p w:rsid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Мокрый остаток на сите с сеткой №0,071, %</w:t>
            </w:r>
          </w:p>
        </w:tc>
        <w:tc>
          <w:tcPr>
            <w:tcW w:w="5341" w:type="dxa"/>
          </w:tcPr>
          <w:p w:rsidR="00B24C78" w:rsidRPr="00B24C78" w:rsidRDefault="00B24C78" w:rsidP="00CF44A3">
            <w:pPr>
              <w:pStyle w:val="2"/>
              <w:numPr>
                <w:ilvl w:val="0"/>
                <w:numId w:val="0"/>
              </w:numPr>
              <w:spacing w:before="0"/>
              <w:jc w:val="both"/>
              <w:rPr>
                <w:rFonts w:ascii="Arial" w:hAnsi="Arial" w:cs="Arial"/>
                <w:b w:val="0"/>
                <w:sz w:val="20"/>
                <w:szCs w:val="20"/>
              </w:rPr>
            </w:pPr>
            <w:r>
              <w:rPr>
                <w:rFonts w:ascii="Arial" w:hAnsi="Arial" w:cs="Arial"/>
                <w:b w:val="0"/>
                <w:sz w:val="20"/>
                <w:szCs w:val="20"/>
              </w:rPr>
              <w:t>1,3-1,5</w:t>
            </w:r>
          </w:p>
        </w:tc>
      </w:tr>
      <w:tr w:rsidR="00B24C78" w:rsidTr="00B24C78">
        <w:tc>
          <w:tcPr>
            <w:tcW w:w="5341" w:type="dxa"/>
          </w:tcPr>
          <w:p w:rsidR="00B24C78" w:rsidRDefault="00B24C78" w:rsidP="00CF44A3">
            <w:pPr>
              <w:pStyle w:val="2"/>
              <w:numPr>
                <w:ilvl w:val="0"/>
                <w:numId w:val="0"/>
              </w:numPr>
              <w:spacing w:before="0"/>
              <w:jc w:val="both"/>
              <w:rPr>
                <w:rFonts w:ascii="Arial" w:hAnsi="Arial" w:cs="Arial"/>
                <w:b w:val="0"/>
                <w:sz w:val="20"/>
                <w:szCs w:val="20"/>
              </w:rPr>
            </w:pPr>
          </w:p>
        </w:tc>
        <w:tc>
          <w:tcPr>
            <w:tcW w:w="5341" w:type="dxa"/>
          </w:tcPr>
          <w:p w:rsidR="00B24C78" w:rsidRDefault="00B24C78" w:rsidP="00CF44A3">
            <w:pPr>
              <w:pStyle w:val="2"/>
              <w:numPr>
                <w:ilvl w:val="0"/>
                <w:numId w:val="0"/>
              </w:numPr>
              <w:spacing w:before="0"/>
              <w:jc w:val="both"/>
              <w:rPr>
                <w:rFonts w:ascii="Arial" w:hAnsi="Arial" w:cs="Arial"/>
                <w:b w:val="0"/>
                <w:sz w:val="20"/>
                <w:szCs w:val="20"/>
              </w:rPr>
            </w:pPr>
          </w:p>
        </w:tc>
      </w:tr>
    </w:tbl>
    <w:p w:rsidR="00CF44A3" w:rsidRPr="00CF44A3" w:rsidRDefault="00CF44A3" w:rsidP="00CF44A3">
      <w:pPr>
        <w:pStyle w:val="2"/>
        <w:numPr>
          <w:ilvl w:val="0"/>
          <w:numId w:val="0"/>
        </w:numPr>
        <w:spacing w:before="0"/>
        <w:jc w:val="both"/>
        <w:rPr>
          <w:rFonts w:ascii="Arial" w:hAnsi="Arial" w:cs="Arial"/>
          <w:b w:val="0"/>
          <w:sz w:val="20"/>
          <w:szCs w:val="20"/>
        </w:rPr>
      </w:pPr>
    </w:p>
    <w:p w:rsidR="00C72791" w:rsidRPr="006F2594" w:rsidRDefault="00C72791" w:rsidP="00C72791">
      <w:pPr>
        <w:pStyle w:val="aff1"/>
        <w:rPr>
          <w:rFonts w:ascii="Arial" w:hAnsi="Arial" w:cs="Arial"/>
          <w:b/>
          <w:sz w:val="20"/>
        </w:rPr>
      </w:pP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 xml:space="preserve">Продукция должна быть новой и ранее неиспользованной, не ранее  </w:t>
      </w:r>
      <w:r w:rsidRPr="00C72791">
        <w:rPr>
          <w:rFonts w:ascii="Arial" w:hAnsi="Arial" w:cs="Arial"/>
          <w:sz w:val="20"/>
          <w:szCs w:val="20"/>
        </w:rPr>
        <w:t>3</w:t>
      </w:r>
      <w:r w:rsidRPr="006F2594">
        <w:rPr>
          <w:rFonts w:ascii="Arial" w:hAnsi="Arial" w:cs="Arial"/>
          <w:sz w:val="20"/>
          <w:szCs w:val="20"/>
        </w:rPr>
        <w:t xml:space="preserve"> кв. 2</w:t>
      </w:r>
      <w:r>
        <w:rPr>
          <w:rFonts w:ascii="Arial" w:hAnsi="Arial" w:cs="Arial"/>
          <w:sz w:val="20"/>
          <w:szCs w:val="20"/>
        </w:rPr>
        <w:t>022</w:t>
      </w:r>
      <w:r w:rsidRPr="006F2594">
        <w:rPr>
          <w:rFonts w:ascii="Arial" w:hAnsi="Arial" w:cs="Arial"/>
          <w:sz w:val="20"/>
          <w:szCs w:val="20"/>
        </w:rPr>
        <w:t xml:space="preserve"> г. выпуска.</w:t>
      </w: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продукцию, но не менее 12 месяцев.</w:t>
      </w:r>
    </w:p>
    <w:p w:rsidR="00C72791" w:rsidRPr="006F2594" w:rsidRDefault="00C72791" w:rsidP="00C72791">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Срок поставки: в течение 10 календарных дней с момента подписания договора.</w:t>
      </w:r>
    </w:p>
    <w:p w:rsidR="00C72791" w:rsidRPr="006F2594" w:rsidRDefault="00C72791" w:rsidP="00C72791">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 xml:space="preserve">Условия оплаты: оплата производится в течение </w:t>
      </w:r>
      <w:r>
        <w:rPr>
          <w:rFonts w:ascii="Arial" w:hAnsi="Arial" w:cs="Arial"/>
          <w:sz w:val="20"/>
        </w:rPr>
        <w:t xml:space="preserve">7 рабочих дней с момента поставки, </w:t>
      </w:r>
      <w:r w:rsidRPr="006F2594">
        <w:rPr>
          <w:rFonts w:ascii="Arial" w:hAnsi="Arial" w:cs="Arial"/>
          <w:sz w:val="20"/>
        </w:rPr>
        <w:t>предоставления счетов-фактур</w:t>
      </w:r>
      <w:r>
        <w:rPr>
          <w:rFonts w:ascii="Arial" w:hAnsi="Arial" w:cs="Arial"/>
          <w:sz w:val="20"/>
        </w:rPr>
        <w:t xml:space="preserve"> и транспортных накладных</w:t>
      </w:r>
      <w:r w:rsidRPr="006F2594">
        <w:rPr>
          <w:rFonts w:ascii="Arial" w:hAnsi="Arial" w:cs="Arial"/>
          <w:sz w:val="20"/>
        </w:rPr>
        <w:t>, путем перечисления денежных средств на расчётный счёт поставщика.</w:t>
      </w: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F2594" w:rsidRDefault="00C72791" w:rsidP="00C72791">
      <w:pPr>
        <w:pStyle w:val="2"/>
        <w:numPr>
          <w:ilvl w:val="0"/>
          <w:numId w:val="0"/>
        </w:numPr>
        <w:spacing w:before="0"/>
        <w:jc w:val="both"/>
        <w:rPr>
          <w:rFonts w:ascii="Arial" w:hAnsi="Arial" w:cs="Arial"/>
          <w:b w:val="0"/>
          <w:bCs/>
          <w:sz w:val="20"/>
          <w:szCs w:val="20"/>
          <w:highlight w:val="yellow"/>
        </w:rPr>
      </w:pPr>
      <w:r w:rsidRPr="006F2594">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C315ED" w:rsidRPr="00C72791" w:rsidRDefault="00C315ED" w:rsidP="002C004C">
      <w:pPr>
        <w:pStyle w:val="af4"/>
        <w:tabs>
          <w:tab w:val="left" w:pos="426"/>
          <w:tab w:val="left" w:pos="709"/>
        </w:tabs>
        <w:spacing w:line="240" w:lineRule="auto"/>
        <w:ind w:left="0" w:firstLine="0"/>
        <w:rPr>
          <w:rFonts w:ascii="Arial" w:hAnsi="Arial" w:cs="Arial"/>
          <w:sz w:val="20"/>
          <w:szCs w:val="20"/>
        </w:rPr>
      </w:pPr>
    </w:p>
    <w:p w:rsidR="00E21CA2" w:rsidRPr="0062131D" w:rsidRDefault="00E21CA2" w:rsidP="00E21CA2">
      <w:pPr>
        <w:pStyle w:val="aff1"/>
        <w:rPr>
          <w:rFonts w:ascii="Arial" w:hAnsi="Arial" w:cs="Arial"/>
          <w:b/>
          <w:sz w:val="20"/>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E21CA2" w:rsidRPr="00BF37D7" w:rsidTr="00E21CA2">
        <w:trPr>
          <w:trHeight w:hRule="exact" w:val="1235"/>
        </w:trPr>
        <w:tc>
          <w:tcPr>
            <w:tcW w:w="5334" w:type="dxa"/>
            <w:tcBorders>
              <w:top w:val="nil"/>
              <w:left w:val="nil"/>
              <w:bottom w:val="nil"/>
              <w:right w:val="nil"/>
            </w:tcBorders>
          </w:tcPr>
          <w:p w:rsidR="00E21CA2" w:rsidRPr="00BF37D7" w:rsidRDefault="00E21CA2" w:rsidP="00E21CA2">
            <w:pPr>
              <w:jc w:val="both"/>
              <w:rPr>
                <w:rFonts w:ascii="Arial" w:hAnsi="Arial" w:cs="Arial"/>
                <w:b/>
                <w:sz w:val="20"/>
                <w:szCs w:val="20"/>
              </w:rPr>
            </w:pPr>
          </w:p>
        </w:tc>
        <w:tc>
          <w:tcPr>
            <w:tcW w:w="5249" w:type="dxa"/>
            <w:tcBorders>
              <w:top w:val="nil"/>
              <w:left w:val="nil"/>
              <w:bottom w:val="nil"/>
              <w:right w:val="nil"/>
            </w:tcBorders>
          </w:tcPr>
          <w:p w:rsidR="00E21CA2" w:rsidRPr="00BF37D7" w:rsidRDefault="00E21CA2" w:rsidP="00E21CA2">
            <w:pPr>
              <w:rPr>
                <w:rFonts w:ascii="Arial" w:hAnsi="Arial" w:cs="Arial"/>
                <w:sz w:val="20"/>
                <w:szCs w:val="20"/>
              </w:rPr>
            </w:pPr>
          </w:p>
        </w:tc>
      </w:tr>
    </w:tbl>
    <w:p w:rsidR="001279FE" w:rsidRPr="006F2594" w:rsidRDefault="001279FE" w:rsidP="006F2594">
      <w:pPr>
        <w:pStyle w:val="af4"/>
        <w:tabs>
          <w:tab w:val="left" w:pos="709"/>
        </w:tabs>
        <w:spacing w:line="240" w:lineRule="auto"/>
        <w:ind w:left="0" w:firstLine="0"/>
        <w:rPr>
          <w:rFonts w:ascii="Arial" w:hAnsi="Arial" w:cs="Arial"/>
          <w:sz w:val="20"/>
          <w:szCs w:val="20"/>
        </w:rPr>
      </w:pPr>
    </w:p>
    <w:sectPr w:rsidR="001279FE" w:rsidRPr="006F2594"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78" w:rsidRDefault="00B24C78">
      <w:r>
        <w:separator/>
      </w:r>
    </w:p>
  </w:endnote>
  <w:endnote w:type="continuationSeparator" w:id="0">
    <w:p w:rsidR="00B24C78" w:rsidRDefault="00B2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78" w:rsidRDefault="00B24C7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78" w:rsidRDefault="00B24C78">
      <w:r>
        <w:separator/>
      </w:r>
    </w:p>
  </w:footnote>
  <w:footnote w:type="continuationSeparator" w:id="0">
    <w:p w:rsidR="00B24C78" w:rsidRDefault="00B24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78" w:rsidRDefault="00B24C7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78" w:rsidRDefault="00B24C7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8">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2"/>
  </w:num>
  <w:num w:numId="9">
    <w:abstractNumId w:val="30"/>
  </w:num>
  <w:num w:numId="10">
    <w:abstractNumId w:val="0"/>
  </w:num>
  <w:num w:numId="11">
    <w:abstractNumId w:val="4"/>
  </w:num>
  <w:num w:numId="12">
    <w:abstractNumId w:val="8"/>
  </w:num>
  <w:num w:numId="13">
    <w:abstractNumId w:val="10"/>
  </w:num>
  <w:num w:numId="14">
    <w:abstractNumId w:val="57"/>
  </w:num>
  <w:num w:numId="15">
    <w:abstractNumId w:val="36"/>
  </w:num>
  <w:num w:numId="16">
    <w:abstractNumId w:val="58"/>
  </w:num>
  <w:num w:numId="17">
    <w:abstractNumId w:val="51"/>
  </w:num>
  <w:num w:numId="18">
    <w:abstractNumId w:val="47"/>
  </w:num>
  <w:num w:numId="19">
    <w:abstractNumId w:val="34"/>
  </w:num>
  <w:num w:numId="20">
    <w:abstractNumId w:val="59"/>
  </w:num>
  <w:num w:numId="21">
    <w:abstractNumId w:val="32"/>
  </w:num>
  <w:num w:numId="22">
    <w:abstractNumId w:val="33"/>
  </w:num>
  <w:num w:numId="23">
    <w:abstractNumId w:val="63"/>
  </w:num>
  <w:num w:numId="24">
    <w:abstractNumId w:val="44"/>
  </w:num>
  <w:num w:numId="25">
    <w:abstractNumId w:val="43"/>
  </w:num>
  <w:num w:numId="26">
    <w:abstractNumId w:val="21"/>
  </w:num>
  <w:num w:numId="27">
    <w:abstractNumId w:val="17"/>
  </w:num>
  <w:num w:numId="28">
    <w:abstractNumId w:val="65"/>
  </w:num>
  <w:num w:numId="29">
    <w:abstractNumId w:val="13"/>
  </w:num>
  <w:num w:numId="30">
    <w:abstractNumId w:val="61"/>
  </w:num>
  <w:num w:numId="31">
    <w:abstractNumId w:val="55"/>
  </w:num>
  <w:num w:numId="32">
    <w:abstractNumId w:val="40"/>
  </w:num>
  <w:num w:numId="33">
    <w:abstractNumId w:val="50"/>
  </w:num>
  <w:num w:numId="34">
    <w:abstractNumId w:val="60"/>
  </w:num>
  <w:num w:numId="35">
    <w:abstractNumId w:val="29"/>
  </w:num>
  <w:num w:numId="36">
    <w:abstractNumId w:val="38"/>
  </w:num>
  <w:num w:numId="37">
    <w:abstractNumId w:val="46"/>
  </w:num>
  <w:num w:numId="38">
    <w:abstractNumId w:val="48"/>
  </w:num>
  <w:num w:numId="39">
    <w:abstractNumId w:val="19"/>
  </w:num>
  <w:num w:numId="40">
    <w:abstractNumId w:val="39"/>
  </w:num>
  <w:num w:numId="41">
    <w:abstractNumId w:val="37"/>
  </w:num>
  <w:num w:numId="42">
    <w:abstractNumId w:val="20"/>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7"/>
  </w:num>
  <w:num w:numId="54">
    <w:abstractNumId w:val="14"/>
  </w:num>
  <w:num w:numId="55">
    <w:abstractNumId w:val="1"/>
  </w:num>
  <w:num w:numId="56">
    <w:abstractNumId w:val="64"/>
  </w:num>
  <w:num w:numId="57">
    <w:abstractNumId w:val="54"/>
  </w:num>
  <w:num w:numId="58">
    <w:abstractNumId w:val="18"/>
  </w:num>
  <w:num w:numId="59">
    <w:abstractNumId w:val="16"/>
  </w:num>
  <w:num w:numId="60">
    <w:abstractNumId w:val="31"/>
  </w:num>
  <w:num w:numId="61">
    <w:abstractNumId w:val="41"/>
  </w:num>
  <w:num w:numId="62">
    <w:abstractNumId w:val="45"/>
  </w:num>
  <w:num w:numId="63">
    <w:abstractNumId w:val="22"/>
  </w:num>
  <w:num w:numId="64">
    <w:abstractNumId w:val="62"/>
  </w:num>
  <w:num w:numId="65">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418"/>
    <w:rsid w:val="000025C8"/>
    <w:rsid w:val="00005417"/>
    <w:rsid w:val="0000572C"/>
    <w:rsid w:val="00005F54"/>
    <w:rsid w:val="00005F65"/>
    <w:rsid w:val="00016032"/>
    <w:rsid w:val="00017F59"/>
    <w:rsid w:val="0002255B"/>
    <w:rsid w:val="0002289D"/>
    <w:rsid w:val="00025703"/>
    <w:rsid w:val="000360AB"/>
    <w:rsid w:val="00037369"/>
    <w:rsid w:val="00045E08"/>
    <w:rsid w:val="000461DC"/>
    <w:rsid w:val="00046CC9"/>
    <w:rsid w:val="00055525"/>
    <w:rsid w:val="000556A3"/>
    <w:rsid w:val="00055C14"/>
    <w:rsid w:val="000562ED"/>
    <w:rsid w:val="00060DDC"/>
    <w:rsid w:val="00061C53"/>
    <w:rsid w:val="00082AC6"/>
    <w:rsid w:val="00082B78"/>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CEE"/>
    <w:rsid w:val="001A12DA"/>
    <w:rsid w:val="001A1F92"/>
    <w:rsid w:val="001A66B3"/>
    <w:rsid w:val="001A771C"/>
    <w:rsid w:val="001B1081"/>
    <w:rsid w:val="001B13BF"/>
    <w:rsid w:val="001B1514"/>
    <w:rsid w:val="001C163E"/>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6579B"/>
    <w:rsid w:val="00371487"/>
    <w:rsid w:val="003730B3"/>
    <w:rsid w:val="00373E46"/>
    <w:rsid w:val="00377771"/>
    <w:rsid w:val="003830B5"/>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17C9C"/>
    <w:rsid w:val="00425771"/>
    <w:rsid w:val="00426851"/>
    <w:rsid w:val="00426924"/>
    <w:rsid w:val="00432324"/>
    <w:rsid w:val="004325C8"/>
    <w:rsid w:val="0043424E"/>
    <w:rsid w:val="00440702"/>
    <w:rsid w:val="00441775"/>
    <w:rsid w:val="0044195A"/>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6CF"/>
    <w:rsid w:val="00475250"/>
    <w:rsid w:val="00475586"/>
    <w:rsid w:val="00475665"/>
    <w:rsid w:val="004900E8"/>
    <w:rsid w:val="00491808"/>
    <w:rsid w:val="00491E87"/>
    <w:rsid w:val="004A3D00"/>
    <w:rsid w:val="004A6319"/>
    <w:rsid w:val="004A7495"/>
    <w:rsid w:val="004A783A"/>
    <w:rsid w:val="004B0CF3"/>
    <w:rsid w:val="004B152D"/>
    <w:rsid w:val="004B1714"/>
    <w:rsid w:val="004B365F"/>
    <w:rsid w:val="004D06EB"/>
    <w:rsid w:val="004D2094"/>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209F"/>
    <w:rsid w:val="005128AE"/>
    <w:rsid w:val="0051497A"/>
    <w:rsid w:val="00517B85"/>
    <w:rsid w:val="005227B3"/>
    <w:rsid w:val="00522A45"/>
    <w:rsid w:val="00525D1C"/>
    <w:rsid w:val="00526FA6"/>
    <w:rsid w:val="0052766B"/>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269E"/>
    <w:rsid w:val="00642C57"/>
    <w:rsid w:val="00643400"/>
    <w:rsid w:val="00652575"/>
    <w:rsid w:val="006538A3"/>
    <w:rsid w:val="006538AB"/>
    <w:rsid w:val="0065442E"/>
    <w:rsid w:val="00654CAF"/>
    <w:rsid w:val="00657357"/>
    <w:rsid w:val="00657E5F"/>
    <w:rsid w:val="006646AE"/>
    <w:rsid w:val="00664B5A"/>
    <w:rsid w:val="00664EA2"/>
    <w:rsid w:val="006672FB"/>
    <w:rsid w:val="00670C00"/>
    <w:rsid w:val="00671D79"/>
    <w:rsid w:val="00675176"/>
    <w:rsid w:val="00676AB8"/>
    <w:rsid w:val="00676E4A"/>
    <w:rsid w:val="00677631"/>
    <w:rsid w:val="00682837"/>
    <w:rsid w:val="00682C74"/>
    <w:rsid w:val="006839E9"/>
    <w:rsid w:val="00685FDF"/>
    <w:rsid w:val="00686F58"/>
    <w:rsid w:val="00690279"/>
    <w:rsid w:val="006A3CFD"/>
    <w:rsid w:val="006C201A"/>
    <w:rsid w:val="006C210D"/>
    <w:rsid w:val="006C52B5"/>
    <w:rsid w:val="006C7F72"/>
    <w:rsid w:val="006D26AE"/>
    <w:rsid w:val="006D3E0A"/>
    <w:rsid w:val="006D48FA"/>
    <w:rsid w:val="006F1A19"/>
    <w:rsid w:val="006F2594"/>
    <w:rsid w:val="006F6925"/>
    <w:rsid w:val="00703050"/>
    <w:rsid w:val="00710C75"/>
    <w:rsid w:val="00711439"/>
    <w:rsid w:val="00711CD3"/>
    <w:rsid w:val="00711EE0"/>
    <w:rsid w:val="00713625"/>
    <w:rsid w:val="007177C6"/>
    <w:rsid w:val="00723CCE"/>
    <w:rsid w:val="00725328"/>
    <w:rsid w:val="007300BD"/>
    <w:rsid w:val="007311E9"/>
    <w:rsid w:val="00734297"/>
    <w:rsid w:val="00734460"/>
    <w:rsid w:val="00734CA0"/>
    <w:rsid w:val="00735F72"/>
    <w:rsid w:val="00735FB4"/>
    <w:rsid w:val="00742093"/>
    <w:rsid w:val="007450DF"/>
    <w:rsid w:val="007531D5"/>
    <w:rsid w:val="00761C19"/>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2665"/>
    <w:rsid w:val="007A460B"/>
    <w:rsid w:val="007A47A7"/>
    <w:rsid w:val="007C01B8"/>
    <w:rsid w:val="007C6479"/>
    <w:rsid w:val="007C6D8D"/>
    <w:rsid w:val="007D36F0"/>
    <w:rsid w:val="007E0085"/>
    <w:rsid w:val="007E11E2"/>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83D63"/>
    <w:rsid w:val="0088412A"/>
    <w:rsid w:val="00887DBF"/>
    <w:rsid w:val="00887EBD"/>
    <w:rsid w:val="0089279E"/>
    <w:rsid w:val="008929ED"/>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062F6"/>
    <w:rsid w:val="00906B1F"/>
    <w:rsid w:val="009104AE"/>
    <w:rsid w:val="0091209B"/>
    <w:rsid w:val="00914F23"/>
    <w:rsid w:val="009159E1"/>
    <w:rsid w:val="00920935"/>
    <w:rsid w:val="00921948"/>
    <w:rsid w:val="00922710"/>
    <w:rsid w:val="009241B9"/>
    <w:rsid w:val="00924F30"/>
    <w:rsid w:val="00934858"/>
    <w:rsid w:val="009355DB"/>
    <w:rsid w:val="009360CB"/>
    <w:rsid w:val="009362BC"/>
    <w:rsid w:val="009368B8"/>
    <w:rsid w:val="00941E7B"/>
    <w:rsid w:val="00942D97"/>
    <w:rsid w:val="00946823"/>
    <w:rsid w:val="0095079D"/>
    <w:rsid w:val="00955C86"/>
    <w:rsid w:val="009637A9"/>
    <w:rsid w:val="0096615C"/>
    <w:rsid w:val="009712B6"/>
    <w:rsid w:val="00971852"/>
    <w:rsid w:val="00974F89"/>
    <w:rsid w:val="0097586F"/>
    <w:rsid w:val="009815D2"/>
    <w:rsid w:val="00981629"/>
    <w:rsid w:val="00981FA1"/>
    <w:rsid w:val="00983281"/>
    <w:rsid w:val="0098526B"/>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D2357"/>
    <w:rsid w:val="009D3CC4"/>
    <w:rsid w:val="009D65F4"/>
    <w:rsid w:val="009E0066"/>
    <w:rsid w:val="009E3D8A"/>
    <w:rsid w:val="009E6723"/>
    <w:rsid w:val="009F1914"/>
    <w:rsid w:val="009F2B80"/>
    <w:rsid w:val="009F4040"/>
    <w:rsid w:val="009F5C47"/>
    <w:rsid w:val="009F61D5"/>
    <w:rsid w:val="00A003B3"/>
    <w:rsid w:val="00A012D3"/>
    <w:rsid w:val="00A129EB"/>
    <w:rsid w:val="00A147B3"/>
    <w:rsid w:val="00A15439"/>
    <w:rsid w:val="00A17684"/>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6999"/>
    <w:rsid w:val="00B10854"/>
    <w:rsid w:val="00B10BD7"/>
    <w:rsid w:val="00B12218"/>
    <w:rsid w:val="00B151C9"/>
    <w:rsid w:val="00B16EF0"/>
    <w:rsid w:val="00B17FBF"/>
    <w:rsid w:val="00B2256D"/>
    <w:rsid w:val="00B24C78"/>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4A6"/>
    <w:rsid w:val="00B7294B"/>
    <w:rsid w:val="00B74869"/>
    <w:rsid w:val="00B75AB7"/>
    <w:rsid w:val="00B77D22"/>
    <w:rsid w:val="00B801EE"/>
    <w:rsid w:val="00B815BE"/>
    <w:rsid w:val="00B81F88"/>
    <w:rsid w:val="00B8262F"/>
    <w:rsid w:val="00B836AE"/>
    <w:rsid w:val="00B901D9"/>
    <w:rsid w:val="00B95275"/>
    <w:rsid w:val="00B955D9"/>
    <w:rsid w:val="00B95B85"/>
    <w:rsid w:val="00B977E1"/>
    <w:rsid w:val="00B979F5"/>
    <w:rsid w:val="00B97E86"/>
    <w:rsid w:val="00BA2B85"/>
    <w:rsid w:val="00BA459F"/>
    <w:rsid w:val="00BA5E1E"/>
    <w:rsid w:val="00BB0F8D"/>
    <w:rsid w:val="00BB1604"/>
    <w:rsid w:val="00BB5B98"/>
    <w:rsid w:val="00BC22F2"/>
    <w:rsid w:val="00BC4610"/>
    <w:rsid w:val="00BC6658"/>
    <w:rsid w:val="00BC6B6C"/>
    <w:rsid w:val="00BC785C"/>
    <w:rsid w:val="00BD09EE"/>
    <w:rsid w:val="00BD2938"/>
    <w:rsid w:val="00BD52A6"/>
    <w:rsid w:val="00BE3133"/>
    <w:rsid w:val="00BE46AD"/>
    <w:rsid w:val="00BF17B9"/>
    <w:rsid w:val="00BF71F9"/>
    <w:rsid w:val="00C0464C"/>
    <w:rsid w:val="00C04FF5"/>
    <w:rsid w:val="00C05D79"/>
    <w:rsid w:val="00C06A2F"/>
    <w:rsid w:val="00C11D3F"/>
    <w:rsid w:val="00C12A41"/>
    <w:rsid w:val="00C13155"/>
    <w:rsid w:val="00C14D63"/>
    <w:rsid w:val="00C15C01"/>
    <w:rsid w:val="00C21B50"/>
    <w:rsid w:val="00C30261"/>
    <w:rsid w:val="00C315ED"/>
    <w:rsid w:val="00C31B68"/>
    <w:rsid w:val="00C32AD1"/>
    <w:rsid w:val="00C35FC3"/>
    <w:rsid w:val="00C3705C"/>
    <w:rsid w:val="00C41005"/>
    <w:rsid w:val="00C4698A"/>
    <w:rsid w:val="00C4748D"/>
    <w:rsid w:val="00C47E87"/>
    <w:rsid w:val="00C53C8A"/>
    <w:rsid w:val="00C55DA8"/>
    <w:rsid w:val="00C6069F"/>
    <w:rsid w:val="00C63DEC"/>
    <w:rsid w:val="00C7124F"/>
    <w:rsid w:val="00C72791"/>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3221"/>
    <w:rsid w:val="00CC398C"/>
    <w:rsid w:val="00CC4B73"/>
    <w:rsid w:val="00CD22C8"/>
    <w:rsid w:val="00CD31DD"/>
    <w:rsid w:val="00CD3F93"/>
    <w:rsid w:val="00CD430D"/>
    <w:rsid w:val="00CE2E04"/>
    <w:rsid w:val="00CE3CEC"/>
    <w:rsid w:val="00CE511A"/>
    <w:rsid w:val="00CE583F"/>
    <w:rsid w:val="00CE6E24"/>
    <w:rsid w:val="00CF0CAF"/>
    <w:rsid w:val="00CF15B6"/>
    <w:rsid w:val="00CF44A3"/>
    <w:rsid w:val="00D021E1"/>
    <w:rsid w:val="00D0342D"/>
    <w:rsid w:val="00D0762D"/>
    <w:rsid w:val="00D148A1"/>
    <w:rsid w:val="00D1520B"/>
    <w:rsid w:val="00D21FBC"/>
    <w:rsid w:val="00D23E87"/>
    <w:rsid w:val="00D26014"/>
    <w:rsid w:val="00D307A1"/>
    <w:rsid w:val="00D32979"/>
    <w:rsid w:val="00D336EE"/>
    <w:rsid w:val="00D340F5"/>
    <w:rsid w:val="00D43E8D"/>
    <w:rsid w:val="00D44984"/>
    <w:rsid w:val="00D53E66"/>
    <w:rsid w:val="00D547A3"/>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C7013"/>
    <w:rsid w:val="00DD0766"/>
    <w:rsid w:val="00DD0A86"/>
    <w:rsid w:val="00DD45C2"/>
    <w:rsid w:val="00DD4AFC"/>
    <w:rsid w:val="00DE0B07"/>
    <w:rsid w:val="00DE5113"/>
    <w:rsid w:val="00DE5481"/>
    <w:rsid w:val="00DE5D54"/>
    <w:rsid w:val="00DE7D32"/>
    <w:rsid w:val="00DF01DD"/>
    <w:rsid w:val="00DF0464"/>
    <w:rsid w:val="00DF243C"/>
    <w:rsid w:val="00DF4612"/>
    <w:rsid w:val="00DF64C7"/>
    <w:rsid w:val="00DF6E3E"/>
    <w:rsid w:val="00DF730E"/>
    <w:rsid w:val="00DF7529"/>
    <w:rsid w:val="00E01D9F"/>
    <w:rsid w:val="00E047BA"/>
    <w:rsid w:val="00E1380C"/>
    <w:rsid w:val="00E15572"/>
    <w:rsid w:val="00E156B2"/>
    <w:rsid w:val="00E168EB"/>
    <w:rsid w:val="00E16CC3"/>
    <w:rsid w:val="00E20D97"/>
    <w:rsid w:val="00E21112"/>
    <w:rsid w:val="00E21C7A"/>
    <w:rsid w:val="00E21CA2"/>
    <w:rsid w:val="00E237BD"/>
    <w:rsid w:val="00E25C3B"/>
    <w:rsid w:val="00E36C8F"/>
    <w:rsid w:val="00E40D68"/>
    <w:rsid w:val="00E4284E"/>
    <w:rsid w:val="00E42D2E"/>
    <w:rsid w:val="00E43EF5"/>
    <w:rsid w:val="00E45DCF"/>
    <w:rsid w:val="00E52839"/>
    <w:rsid w:val="00E53745"/>
    <w:rsid w:val="00E54B1B"/>
    <w:rsid w:val="00E5775C"/>
    <w:rsid w:val="00E61C33"/>
    <w:rsid w:val="00E64902"/>
    <w:rsid w:val="00E674DB"/>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527255005">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68804684">
      <w:bodyDiv w:val="1"/>
      <w:marLeft w:val="0"/>
      <w:marRight w:val="0"/>
      <w:marTop w:val="0"/>
      <w:marBottom w:val="0"/>
      <w:divBdr>
        <w:top w:val="none" w:sz="0" w:space="0" w:color="auto"/>
        <w:left w:val="none" w:sz="0" w:space="0" w:color="auto"/>
        <w:bottom w:val="none" w:sz="0" w:space="0" w:color="auto"/>
        <w:right w:val="none" w:sz="0" w:space="0" w:color="auto"/>
      </w:divBdr>
      <w:divsChild>
        <w:div w:id="506673614">
          <w:marLeft w:val="0"/>
          <w:marRight w:val="0"/>
          <w:marTop w:val="0"/>
          <w:marBottom w:val="0"/>
          <w:divBdr>
            <w:top w:val="none" w:sz="0" w:space="0" w:color="auto"/>
            <w:left w:val="none" w:sz="0" w:space="0" w:color="auto"/>
            <w:bottom w:val="none" w:sz="0" w:space="0" w:color="auto"/>
            <w:right w:val="none" w:sz="0" w:space="0" w:color="auto"/>
          </w:divBdr>
        </w:div>
        <w:div w:id="1015303561">
          <w:marLeft w:val="0"/>
          <w:marRight w:val="0"/>
          <w:marTop w:val="0"/>
          <w:marBottom w:val="0"/>
          <w:divBdr>
            <w:top w:val="none" w:sz="0" w:space="0" w:color="auto"/>
            <w:left w:val="none" w:sz="0" w:space="0" w:color="auto"/>
            <w:bottom w:val="none" w:sz="0" w:space="0" w:color="auto"/>
            <w:right w:val="none" w:sz="0" w:space="0" w:color="auto"/>
          </w:divBdr>
        </w:div>
        <w:div w:id="380902052">
          <w:marLeft w:val="0"/>
          <w:marRight w:val="0"/>
          <w:marTop w:val="0"/>
          <w:marBottom w:val="0"/>
          <w:divBdr>
            <w:top w:val="none" w:sz="0" w:space="0" w:color="auto"/>
            <w:left w:val="none" w:sz="0" w:space="0" w:color="auto"/>
            <w:bottom w:val="none" w:sz="0" w:space="0" w:color="auto"/>
            <w:right w:val="none" w:sz="0" w:space="0" w:color="auto"/>
          </w:divBdr>
        </w:div>
        <w:div w:id="336887171">
          <w:marLeft w:val="0"/>
          <w:marRight w:val="0"/>
          <w:marTop w:val="0"/>
          <w:marBottom w:val="0"/>
          <w:divBdr>
            <w:top w:val="none" w:sz="0" w:space="0" w:color="auto"/>
            <w:left w:val="none" w:sz="0" w:space="0" w:color="auto"/>
            <w:bottom w:val="none" w:sz="0" w:space="0" w:color="auto"/>
            <w:right w:val="none" w:sz="0" w:space="0" w:color="auto"/>
          </w:divBdr>
        </w:div>
        <w:div w:id="1247499849">
          <w:marLeft w:val="0"/>
          <w:marRight w:val="0"/>
          <w:marTop w:val="0"/>
          <w:marBottom w:val="0"/>
          <w:divBdr>
            <w:top w:val="none" w:sz="0" w:space="0" w:color="auto"/>
            <w:left w:val="none" w:sz="0" w:space="0" w:color="auto"/>
            <w:bottom w:val="none" w:sz="0" w:space="0" w:color="auto"/>
            <w:right w:val="none" w:sz="0" w:space="0" w:color="auto"/>
          </w:divBdr>
        </w:div>
        <w:div w:id="1504855375">
          <w:marLeft w:val="0"/>
          <w:marRight w:val="0"/>
          <w:marTop w:val="0"/>
          <w:marBottom w:val="0"/>
          <w:divBdr>
            <w:top w:val="none" w:sz="0" w:space="0" w:color="auto"/>
            <w:left w:val="none" w:sz="0" w:space="0" w:color="auto"/>
            <w:bottom w:val="none" w:sz="0" w:space="0" w:color="auto"/>
            <w:right w:val="none" w:sz="0" w:space="0" w:color="auto"/>
          </w:divBdr>
        </w:div>
        <w:div w:id="369694421">
          <w:marLeft w:val="0"/>
          <w:marRight w:val="0"/>
          <w:marTop w:val="0"/>
          <w:marBottom w:val="0"/>
          <w:divBdr>
            <w:top w:val="none" w:sz="0" w:space="0" w:color="auto"/>
            <w:left w:val="none" w:sz="0" w:space="0" w:color="auto"/>
            <w:bottom w:val="none" w:sz="0" w:space="0" w:color="auto"/>
            <w:right w:val="none" w:sz="0" w:space="0" w:color="auto"/>
          </w:divBdr>
        </w:div>
        <w:div w:id="142671934">
          <w:marLeft w:val="0"/>
          <w:marRight w:val="0"/>
          <w:marTop w:val="0"/>
          <w:marBottom w:val="0"/>
          <w:divBdr>
            <w:top w:val="none" w:sz="0" w:space="0" w:color="auto"/>
            <w:left w:val="none" w:sz="0" w:space="0" w:color="auto"/>
            <w:bottom w:val="none" w:sz="0" w:space="0" w:color="auto"/>
            <w:right w:val="none" w:sz="0" w:space="0" w:color="auto"/>
          </w:divBdr>
        </w:div>
        <w:div w:id="1517693301">
          <w:marLeft w:val="0"/>
          <w:marRight w:val="0"/>
          <w:marTop w:val="0"/>
          <w:marBottom w:val="0"/>
          <w:divBdr>
            <w:top w:val="none" w:sz="0" w:space="0" w:color="auto"/>
            <w:left w:val="none" w:sz="0" w:space="0" w:color="auto"/>
            <w:bottom w:val="none" w:sz="0" w:space="0" w:color="auto"/>
            <w:right w:val="none" w:sz="0" w:space="0" w:color="auto"/>
          </w:divBdr>
        </w:div>
        <w:div w:id="76439076">
          <w:marLeft w:val="0"/>
          <w:marRight w:val="0"/>
          <w:marTop w:val="0"/>
          <w:marBottom w:val="0"/>
          <w:divBdr>
            <w:top w:val="none" w:sz="0" w:space="0" w:color="auto"/>
            <w:left w:val="none" w:sz="0" w:space="0" w:color="auto"/>
            <w:bottom w:val="none" w:sz="0" w:space="0" w:color="auto"/>
            <w:right w:val="none" w:sz="0" w:space="0" w:color="auto"/>
          </w:divBdr>
        </w:div>
        <w:div w:id="845249369">
          <w:marLeft w:val="0"/>
          <w:marRight w:val="0"/>
          <w:marTop w:val="0"/>
          <w:marBottom w:val="0"/>
          <w:divBdr>
            <w:top w:val="none" w:sz="0" w:space="0" w:color="auto"/>
            <w:left w:val="none" w:sz="0" w:space="0" w:color="auto"/>
            <w:bottom w:val="none" w:sz="0" w:space="0" w:color="auto"/>
            <w:right w:val="none" w:sz="0" w:space="0" w:color="auto"/>
          </w:divBdr>
        </w:div>
        <w:div w:id="697311630">
          <w:marLeft w:val="0"/>
          <w:marRight w:val="0"/>
          <w:marTop w:val="0"/>
          <w:marBottom w:val="0"/>
          <w:divBdr>
            <w:top w:val="none" w:sz="0" w:space="0" w:color="auto"/>
            <w:left w:val="none" w:sz="0" w:space="0" w:color="auto"/>
            <w:bottom w:val="none" w:sz="0" w:space="0" w:color="auto"/>
            <w:right w:val="none" w:sz="0" w:space="0" w:color="auto"/>
          </w:divBdr>
        </w:div>
        <w:div w:id="1640525965">
          <w:marLeft w:val="0"/>
          <w:marRight w:val="0"/>
          <w:marTop w:val="0"/>
          <w:marBottom w:val="0"/>
          <w:divBdr>
            <w:top w:val="none" w:sz="0" w:space="0" w:color="auto"/>
            <w:left w:val="none" w:sz="0" w:space="0" w:color="auto"/>
            <w:bottom w:val="none" w:sz="0" w:space="0" w:color="auto"/>
            <w:right w:val="none" w:sz="0" w:space="0" w:color="auto"/>
          </w:divBdr>
        </w:div>
        <w:div w:id="1966889211">
          <w:marLeft w:val="0"/>
          <w:marRight w:val="0"/>
          <w:marTop w:val="0"/>
          <w:marBottom w:val="0"/>
          <w:divBdr>
            <w:top w:val="none" w:sz="0" w:space="0" w:color="auto"/>
            <w:left w:val="none" w:sz="0" w:space="0" w:color="auto"/>
            <w:bottom w:val="none" w:sz="0" w:space="0" w:color="auto"/>
            <w:right w:val="none" w:sz="0" w:space="0" w:color="auto"/>
          </w:divBdr>
        </w:div>
        <w:div w:id="625282091">
          <w:marLeft w:val="0"/>
          <w:marRight w:val="0"/>
          <w:marTop w:val="0"/>
          <w:marBottom w:val="0"/>
          <w:divBdr>
            <w:top w:val="none" w:sz="0" w:space="0" w:color="auto"/>
            <w:left w:val="none" w:sz="0" w:space="0" w:color="auto"/>
            <w:bottom w:val="none" w:sz="0" w:space="0" w:color="auto"/>
            <w:right w:val="none" w:sz="0" w:space="0" w:color="auto"/>
          </w:divBdr>
        </w:div>
        <w:div w:id="1521046915">
          <w:marLeft w:val="0"/>
          <w:marRight w:val="0"/>
          <w:marTop w:val="0"/>
          <w:marBottom w:val="0"/>
          <w:divBdr>
            <w:top w:val="none" w:sz="0" w:space="0" w:color="auto"/>
            <w:left w:val="none" w:sz="0" w:space="0" w:color="auto"/>
            <w:bottom w:val="none" w:sz="0" w:space="0" w:color="auto"/>
            <w:right w:val="none" w:sz="0" w:space="0" w:color="auto"/>
          </w:divBdr>
        </w:div>
        <w:div w:id="574827231">
          <w:marLeft w:val="0"/>
          <w:marRight w:val="0"/>
          <w:marTop w:val="0"/>
          <w:marBottom w:val="0"/>
          <w:divBdr>
            <w:top w:val="none" w:sz="0" w:space="0" w:color="auto"/>
            <w:left w:val="none" w:sz="0" w:space="0" w:color="auto"/>
            <w:bottom w:val="none" w:sz="0" w:space="0" w:color="auto"/>
            <w:right w:val="none" w:sz="0" w:space="0" w:color="auto"/>
          </w:divBdr>
        </w:div>
        <w:div w:id="1404718614">
          <w:marLeft w:val="0"/>
          <w:marRight w:val="0"/>
          <w:marTop w:val="0"/>
          <w:marBottom w:val="0"/>
          <w:divBdr>
            <w:top w:val="none" w:sz="0" w:space="0" w:color="auto"/>
            <w:left w:val="none" w:sz="0" w:space="0" w:color="auto"/>
            <w:bottom w:val="none" w:sz="0" w:space="0" w:color="auto"/>
            <w:right w:val="none" w:sz="0" w:space="0" w:color="auto"/>
          </w:divBdr>
        </w:div>
        <w:div w:id="1050038725">
          <w:marLeft w:val="0"/>
          <w:marRight w:val="0"/>
          <w:marTop w:val="0"/>
          <w:marBottom w:val="0"/>
          <w:divBdr>
            <w:top w:val="none" w:sz="0" w:space="0" w:color="auto"/>
            <w:left w:val="none" w:sz="0" w:space="0" w:color="auto"/>
            <w:bottom w:val="none" w:sz="0" w:space="0" w:color="auto"/>
            <w:right w:val="none" w:sz="0" w:space="0" w:color="auto"/>
          </w:divBdr>
        </w:div>
        <w:div w:id="489096871">
          <w:marLeft w:val="0"/>
          <w:marRight w:val="0"/>
          <w:marTop w:val="0"/>
          <w:marBottom w:val="0"/>
          <w:divBdr>
            <w:top w:val="none" w:sz="0" w:space="0" w:color="auto"/>
            <w:left w:val="none" w:sz="0" w:space="0" w:color="auto"/>
            <w:bottom w:val="none" w:sz="0" w:space="0" w:color="auto"/>
            <w:right w:val="none" w:sz="0" w:space="0" w:color="auto"/>
          </w:divBdr>
        </w:div>
        <w:div w:id="1086531614">
          <w:marLeft w:val="0"/>
          <w:marRight w:val="0"/>
          <w:marTop w:val="0"/>
          <w:marBottom w:val="0"/>
          <w:divBdr>
            <w:top w:val="none" w:sz="0" w:space="0" w:color="auto"/>
            <w:left w:val="none" w:sz="0" w:space="0" w:color="auto"/>
            <w:bottom w:val="none" w:sz="0" w:space="0" w:color="auto"/>
            <w:right w:val="none" w:sz="0" w:space="0" w:color="auto"/>
          </w:divBdr>
        </w:div>
        <w:div w:id="594629380">
          <w:marLeft w:val="0"/>
          <w:marRight w:val="0"/>
          <w:marTop w:val="0"/>
          <w:marBottom w:val="0"/>
          <w:divBdr>
            <w:top w:val="none" w:sz="0" w:space="0" w:color="auto"/>
            <w:left w:val="none" w:sz="0" w:space="0" w:color="auto"/>
            <w:bottom w:val="none" w:sz="0" w:space="0" w:color="auto"/>
            <w:right w:val="none" w:sz="0" w:space="0" w:color="auto"/>
          </w:divBdr>
        </w:div>
        <w:div w:id="1359240390">
          <w:marLeft w:val="0"/>
          <w:marRight w:val="0"/>
          <w:marTop w:val="0"/>
          <w:marBottom w:val="0"/>
          <w:divBdr>
            <w:top w:val="none" w:sz="0" w:space="0" w:color="auto"/>
            <w:left w:val="none" w:sz="0" w:space="0" w:color="auto"/>
            <w:bottom w:val="none" w:sz="0" w:space="0" w:color="auto"/>
            <w:right w:val="none" w:sz="0" w:space="0" w:color="auto"/>
          </w:divBdr>
        </w:div>
        <w:div w:id="1012074677">
          <w:marLeft w:val="0"/>
          <w:marRight w:val="0"/>
          <w:marTop w:val="0"/>
          <w:marBottom w:val="0"/>
          <w:divBdr>
            <w:top w:val="none" w:sz="0" w:space="0" w:color="auto"/>
            <w:left w:val="none" w:sz="0" w:space="0" w:color="auto"/>
            <w:bottom w:val="none" w:sz="0" w:space="0" w:color="auto"/>
            <w:right w:val="none" w:sz="0" w:space="0" w:color="auto"/>
          </w:divBdr>
        </w:div>
        <w:div w:id="297490003">
          <w:marLeft w:val="0"/>
          <w:marRight w:val="0"/>
          <w:marTop w:val="0"/>
          <w:marBottom w:val="0"/>
          <w:divBdr>
            <w:top w:val="none" w:sz="0" w:space="0" w:color="auto"/>
            <w:left w:val="none" w:sz="0" w:space="0" w:color="auto"/>
            <w:bottom w:val="none" w:sz="0" w:space="0" w:color="auto"/>
            <w:right w:val="none" w:sz="0" w:space="0" w:color="auto"/>
          </w:divBdr>
        </w:div>
      </w:divsChild>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2405A-4C64-45F8-A162-5C2E89E2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7738</Words>
  <Characters>58059</Characters>
  <Application>Microsoft Office Word</Application>
  <DocSecurity>0</DocSecurity>
  <Lines>483</Lines>
  <Paragraphs>131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2023-03-01T13:56:00Z</dcterms:created>
  <dcterms:modified xsi:type="dcterms:W3CDTF">2023-03-02T06:12:00Z</dcterms:modified>
</cp:coreProperties>
</file>